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11" w:rsidRDefault="007F4D11" w:rsidP="007F4D11">
      <w:pPr>
        <w:jc w:val="center"/>
        <w:rPr>
          <w:rFonts w:ascii="Arial" w:hAnsi="Arial" w:cs="Arial"/>
          <w:b/>
          <w:sz w:val="24"/>
          <w:szCs w:val="24"/>
        </w:rPr>
      </w:pPr>
      <w:r w:rsidRPr="003C272B">
        <w:rPr>
          <w:rFonts w:ascii="Arial" w:hAnsi="Arial" w:cs="Arial"/>
          <w:b/>
          <w:sz w:val="24"/>
          <w:szCs w:val="24"/>
        </w:rPr>
        <w:t>Un recurso para la enseñanza de los vectores en la Educación Media Superior de la Universidad Autónoma de Nayarit</w:t>
      </w:r>
    </w:p>
    <w:p w:rsidR="007F4D11" w:rsidRPr="007F4D11" w:rsidRDefault="007F4D11" w:rsidP="007F4D11">
      <w:pPr>
        <w:pStyle w:val="Encabezado"/>
        <w:tabs>
          <w:tab w:val="left" w:pos="730"/>
        </w:tabs>
        <w:ind w:firstLine="0"/>
        <w:rPr>
          <w:rFonts w:ascii="Arial" w:hAnsi="Arial" w:cs="Arial"/>
          <w:b/>
          <w:sz w:val="24"/>
          <w:szCs w:val="24"/>
        </w:rPr>
      </w:pPr>
    </w:p>
    <w:p w:rsidR="007F4D11" w:rsidRPr="007F4D11" w:rsidRDefault="007F4D11" w:rsidP="007F4D11">
      <w:pPr>
        <w:pStyle w:val="Autores"/>
        <w:spacing w:before="0" w:after="0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7F4D11">
        <w:rPr>
          <w:rFonts w:ascii="Arial" w:hAnsi="Arial" w:cs="Arial"/>
          <w:b/>
          <w:color w:val="auto"/>
          <w:sz w:val="24"/>
          <w:szCs w:val="24"/>
        </w:rPr>
        <w:t>Figueroa Córdova JD</w:t>
      </w:r>
      <w:r w:rsidRPr="007F4D11">
        <w:rPr>
          <w:rStyle w:val="Refdenotaalpie"/>
          <w:rFonts w:ascii="Arial" w:eastAsia="Calibri" w:hAnsi="Arial" w:cs="Arial"/>
          <w:b/>
          <w:color w:val="auto"/>
          <w:sz w:val="24"/>
          <w:szCs w:val="24"/>
        </w:rPr>
        <w:footnoteReference w:id="1"/>
      </w:r>
      <w:r w:rsidRPr="007F4D11">
        <w:rPr>
          <w:rFonts w:ascii="Arial" w:hAnsi="Arial" w:cs="Arial"/>
          <w:b/>
          <w:color w:val="auto"/>
          <w:sz w:val="24"/>
          <w:szCs w:val="24"/>
        </w:rPr>
        <w:t xml:space="preserve">, </w:t>
      </w:r>
    </w:p>
    <w:p w:rsidR="007F4D11" w:rsidRPr="007F4D11" w:rsidRDefault="007F4D11" w:rsidP="007F4D11">
      <w:pPr>
        <w:pStyle w:val="Autores"/>
        <w:spacing w:before="0" w:after="0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7F4D11">
        <w:rPr>
          <w:rFonts w:ascii="Arial" w:hAnsi="Arial" w:cs="Arial"/>
          <w:b/>
          <w:color w:val="auto"/>
          <w:sz w:val="24"/>
          <w:szCs w:val="24"/>
        </w:rPr>
        <w:t>López Álvarez UA</w:t>
      </w:r>
      <w:r w:rsidRPr="007F4D11">
        <w:rPr>
          <w:rStyle w:val="Refdenotaalpie"/>
          <w:rFonts w:ascii="Arial" w:eastAsia="Calibri" w:hAnsi="Arial" w:cs="Arial"/>
          <w:b/>
          <w:color w:val="auto"/>
          <w:sz w:val="24"/>
          <w:szCs w:val="24"/>
        </w:rPr>
        <w:footnoteReference w:id="2"/>
      </w:r>
      <w:r w:rsidRPr="007F4D11">
        <w:rPr>
          <w:rFonts w:ascii="Arial" w:hAnsi="Arial" w:cs="Arial"/>
          <w:b/>
          <w:color w:val="auto"/>
          <w:sz w:val="24"/>
          <w:szCs w:val="24"/>
        </w:rPr>
        <w:t xml:space="preserve">, </w:t>
      </w:r>
    </w:p>
    <w:p w:rsidR="007F4D11" w:rsidRPr="007F4D11" w:rsidRDefault="007F4D11" w:rsidP="007F4D11">
      <w:pPr>
        <w:pStyle w:val="Autores"/>
        <w:spacing w:before="0" w:after="0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7F4D11">
        <w:rPr>
          <w:rFonts w:ascii="Arial" w:hAnsi="Arial" w:cs="Arial"/>
          <w:b/>
          <w:color w:val="auto"/>
          <w:sz w:val="24"/>
          <w:szCs w:val="24"/>
        </w:rPr>
        <w:t>Guerra Salazar SI</w:t>
      </w:r>
      <w:r w:rsidRPr="007F4D11">
        <w:rPr>
          <w:rStyle w:val="Refdenotaalpie"/>
          <w:rFonts w:ascii="Arial" w:eastAsia="Calibri" w:hAnsi="Arial" w:cs="Arial"/>
          <w:b/>
          <w:color w:val="auto"/>
          <w:sz w:val="24"/>
          <w:szCs w:val="24"/>
        </w:rPr>
        <w:footnoteReference w:id="3"/>
      </w:r>
      <w:r w:rsidRPr="007F4D11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8E46BD" w:rsidRDefault="008E46BD" w:rsidP="007F4D11">
      <w:pPr>
        <w:pStyle w:val="Autores"/>
        <w:spacing w:before="0" w:after="0"/>
        <w:ind w:firstLin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García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Bramasco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FE</w:t>
      </w:r>
      <w:r w:rsidR="007F4D11" w:rsidRPr="007F4D11">
        <w:rPr>
          <w:rStyle w:val="Refdenotaalpie"/>
          <w:rFonts w:ascii="Arial" w:eastAsia="Calibri" w:hAnsi="Arial" w:cs="Arial"/>
          <w:b/>
          <w:color w:val="auto"/>
          <w:sz w:val="24"/>
          <w:szCs w:val="24"/>
        </w:rPr>
        <w:footnoteReference w:id="4"/>
      </w:r>
    </w:p>
    <w:p w:rsidR="007F4D11" w:rsidRDefault="008E46BD" w:rsidP="007F4D11">
      <w:pPr>
        <w:pStyle w:val="Autores"/>
        <w:spacing w:before="0" w:after="0"/>
        <w:ind w:firstLin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Cortez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Godinez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RA</w:t>
      </w:r>
      <w:r w:rsidRPr="007F4D11">
        <w:rPr>
          <w:rStyle w:val="Refdenotaalpie"/>
          <w:rFonts w:ascii="Arial" w:eastAsia="Calibri" w:hAnsi="Arial" w:cs="Arial"/>
          <w:b/>
          <w:color w:val="auto"/>
          <w:sz w:val="24"/>
          <w:szCs w:val="24"/>
        </w:rPr>
        <w:footnoteReference w:id="5"/>
      </w:r>
      <w:r w:rsidR="007F4D11" w:rsidRPr="007F4D11">
        <w:rPr>
          <w:rFonts w:ascii="Arial" w:hAnsi="Arial" w:cs="Arial"/>
          <w:b/>
          <w:color w:val="auto"/>
          <w:sz w:val="24"/>
          <w:szCs w:val="24"/>
        </w:rPr>
        <w:t xml:space="preserve">  </w:t>
      </w:r>
    </w:p>
    <w:p w:rsidR="008E46BD" w:rsidRDefault="008E46BD" w:rsidP="008E46BD">
      <w:pPr>
        <w:pStyle w:val="NormalWeb"/>
        <w:jc w:val="center"/>
        <w:rPr>
          <w:rFonts w:ascii="Arial" w:hAnsi="Arial" w:cs="Arial"/>
          <w:color w:val="333333"/>
          <w:szCs w:val="26"/>
          <w:shd w:val="clear" w:color="auto" w:fill="FFFFFF"/>
        </w:rPr>
      </w:pPr>
      <w:r w:rsidRPr="008E46BD">
        <w:rPr>
          <w:rFonts w:ascii="Arial" w:hAnsi="Arial" w:cs="Arial"/>
          <w:color w:val="000000"/>
        </w:rPr>
        <w:t>Programa académico de Matemáticas, Área de Ciencias Básicas e Ingenierías de la Universidad Autónoma de Nayarit. Ciudad de la cultura “Amado Nervo”. C.P 63000, Tepic, Nayarit.</w:t>
      </w:r>
      <w:r w:rsidRPr="008E46BD">
        <w:rPr>
          <w:rFonts w:ascii="Arial" w:hAnsi="Arial" w:cs="Arial"/>
          <w:color w:val="000000"/>
        </w:rPr>
        <w:t xml:space="preserve"> </w:t>
      </w:r>
      <w:r w:rsidR="00B24D1A" w:rsidRPr="00B24D1A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chikilin_2x1@hotmail.com</w:t>
      </w:r>
      <w:r w:rsidR="00B24D1A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, </w:t>
      </w:r>
      <w:r w:rsidRPr="008E46BD">
        <w:rPr>
          <w:rFonts w:ascii="Arial" w:hAnsi="Arial" w:cs="Arial"/>
          <w:color w:val="333333"/>
          <w:szCs w:val="26"/>
          <w:shd w:val="clear" w:color="auto" w:fill="FFFFFF"/>
        </w:rPr>
        <w:t>311 122 50 23</w:t>
      </w:r>
    </w:p>
    <w:p w:rsidR="009F0CE6" w:rsidRPr="008E46BD" w:rsidRDefault="009F0CE6" w:rsidP="008E46BD">
      <w:pPr>
        <w:pStyle w:val="NormalWeb"/>
        <w:jc w:val="center"/>
        <w:rPr>
          <w:rFonts w:ascii="Arial" w:hAnsi="Arial" w:cs="Arial"/>
          <w:color w:val="000000"/>
        </w:rPr>
      </w:pPr>
    </w:p>
    <w:p w:rsidR="008E46BD" w:rsidRPr="009F0CE6" w:rsidRDefault="009F0CE6" w:rsidP="009F0CE6">
      <w:pPr>
        <w:pStyle w:val="Autores"/>
        <w:spacing w:before="0" w:after="0"/>
        <w:ind w:firstLine="0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9F0CE6">
        <w:rPr>
          <w:rFonts w:ascii="Arial" w:hAnsi="Arial" w:cs="Arial"/>
          <w:b/>
          <w:i/>
          <w:color w:val="auto"/>
          <w:sz w:val="24"/>
          <w:szCs w:val="24"/>
        </w:rPr>
        <w:t>Palabras clave</w:t>
      </w:r>
      <w:r w:rsidRPr="009F0CE6">
        <w:rPr>
          <w:rFonts w:ascii="Arial" w:hAnsi="Arial" w:cs="Arial"/>
          <w:b/>
          <w:color w:val="auto"/>
          <w:sz w:val="24"/>
          <w:szCs w:val="24"/>
        </w:rPr>
        <w:t>: vectores, enseñanza, media superior.</w:t>
      </w:r>
    </w:p>
    <w:p w:rsidR="007F4D11" w:rsidRPr="007F4D11" w:rsidRDefault="007F4D11" w:rsidP="007F4D11">
      <w:pPr>
        <w:pStyle w:val="Resumen"/>
        <w:rPr>
          <w:rFonts w:ascii="Arial" w:hAnsi="Arial" w:cs="Arial"/>
          <w:i/>
          <w:color w:val="auto"/>
          <w:sz w:val="24"/>
          <w:szCs w:val="24"/>
        </w:rPr>
      </w:pPr>
    </w:p>
    <w:p w:rsidR="007F4D11" w:rsidRPr="007F4D11" w:rsidRDefault="007F4D11" w:rsidP="007F4D1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7F4D11">
        <w:rPr>
          <w:rFonts w:ascii="Arial" w:hAnsi="Arial" w:cs="Arial"/>
          <w:b/>
          <w:i/>
          <w:sz w:val="24"/>
          <w:szCs w:val="24"/>
        </w:rPr>
        <w:t>Resumen</w:t>
      </w:r>
    </w:p>
    <w:p w:rsidR="00416BD3" w:rsidRPr="00961083" w:rsidRDefault="008E46BD" w:rsidP="00416BD3">
      <w:pPr>
        <w:pStyle w:val="NormalWeb"/>
        <w:rPr>
          <w:rFonts w:ascii="Arial" w:hAnsi="Arial" w:cs="Arial"/>
        </w:rPr>
      </w:pPr>
      <w:r w:rsidRPr="00355D58">
        <w:rPr>
          <w:rFonts w:ascii="Arial" w:hAnsi="Arial" w:cs="Arial"/>
          <w:color w:val="000000"/>
        </w:rPr>
        <w:t>En este docum</w:t>
      </w:r>
      <w:r w:rsidR="00371959">
        <w:rPr>
          <w:rFonts w:ascii="Arial" w:hAnsi="Arial" w:cs="Arial"/>
          <w:color w:val="000000"/>
        </w:rPr>
        <w:t>ento se presenta un recurso</w:t>
      </w:r>
      <w:r w:rsidRPr="00355D58">
        <w:rPr>
          <w:rFonts w:ascii="Arial" w:hAnsi="Arial" w:cs="Arial"/>
          <w:color w:val="000000"/>
        </w:rPr>
        <w:t xml:space="preserve"> para la</w:t>
      </w:r>
      <w:r w:rsidR="00371959">
        <w:rPr>
          <w:rFonts w:ascii="Arial" w:hAnsi="Arial" w:cs="Arial"/>
          <w:color w:val="000000"/>
        </w:rPr>
        <w:t xml:space="preserve"> enseñanza de los vectores en la Educación Media Superior</w:t>
      </w:r>
      <w:r>
        <w:rPr>
          <w:rFonts w:ascii="Arial" w:hAnsi="Arial" w:cs="Arial"/>
          <w:color w:val="000000"/>
        </w:rPr>
        <w:t xml:space="preserve">, cuya utilidad se </w:t>
      </w:r>
      <w:r w:rsidR="00FD0B4E">
        <w:rPr>
          <w:rFonts w:ascii="Arial" w:hAnsi="Arial" w:cs="Arial"/>
          <w:color w:val="000000"/>
        </w:rPr>
        <w:t xml:space="preserve">asocia al aprendizaje de la mecánica Newtoniana </w:t>
      </w:r>
      <w:r w:rsidR="00FD0B4E" w:rsidRPr="0074072E">
        <w:rPr>
          <w:rFonts w:ascii="Arial" w:hAnsi="Arial" w:cs="Arial"/>
        </w:rPr>
        <w:t>(C</w:t>
      </w:r>
      <w:r w:rsidR="009F0CE6">
        <w:rPr>
          <w:rFonts w:ascii="Arial" w:hAnsi="Arial" w:cs="Arial"/>
        </w:rPr>
        <w:t xml:space="preserve">osta y Di </w:t>
      </w:r>
      <w:proofErr w:type="spellStart"/>
      <w:r w:rsidR="009F0CE6">
        <w:rPr>
          <w:rFonts w:ascii="Arial" w:hAnsi="Arial" w:cs="Arial"/>
        </w:rPr>
        <w:t>Domenicantonio</w:t>
      </w:r>
      <w:proofErr w:type="spellEnd"/>
      <w:r w:rsidR="009F0CE6">
        <w:rPr>
          <w:rFonts w:ascii="Arial" w:hAnsi="Arial" w:cs="Arial"/>
        </w:rPr>
        <w:t>, 2006)</w:t>
      </w:r>
      <w:r w:rsidR="009F0CE6">
        <w:rPr>
          <w:rFonts w:ascii="Arial" w:hAnsi="Arial" w:cs="Arial"/>
          <w:color w:val="000000"/>
        </w:rPr>
        <w:t xml:space="preserve">. </w:t>
      </w:r>
      <w:r w:rsidR="00371959"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</w:rPr>
        <w:t xml:space="preserve"> fundamenta </w:t>
      </w:r>
      <w:r w:rsidRPr="00355D58">
        <w:rPr>
          <w:rFonts w:ascii="Arial" w:hAnsi="Arial" w:cs="Arial"/>
          <w:color w:val="000000"/>
        </w:rPr>
        <w:t xml:space="preserve">en </w:t>
      </w:r>
      <w:r w:rsidR="00416BD3">
        <w:rPr>
          <w:rFonts w:ascii="Arial" w:hAnsi="Arial" w:cs="Arial"/>
          <w:color w:val="000000"/>
        </w:rPr>
        <w:t xml:space="preserve">la creación de escenarios para el aprendizaje a través de las herramientas virtuales (Cabero, 2004) y las posibilidades dinámicas e interactivas que reúne el software </w:t>
      </w:r>
      <w:proofErr w:type="spellStart"/>
      <w:r w:rsidR="00416BD3">
        <w:rPr>
          <w:rFonts w:ascii="Arial" w:hAnsi="Arial" w:cs="Arial"/>
          <w:color w:val="000000"/>
        </w:rPr>
        <w:t>Geogebra</w:t>
      </w:r>
      <w:proofErr w:type="spellEnd"/>
      <w:r w:rsidR="00416BD3">
        <w:rPr>
          <w:rFonts w:ascii="Arial" w:hAnsi="Arial" w:cs="Arial"/>
          <w:color w:val="000000"/>
        </w:rPr>
        <w:t xml:space="preserve"> (International </w:t>
      </w:r>
      <w:proofErr w:type="spellStart"/>
      <w:r w:rsidR="00416BD3">
        <w:rPr>
          <w:rFonts w:ascii="Arial" w:hAnsi="Arial" w:cs="Arial"/>
          <w:color w:val="000000"/>
        </w:rPr>
        <w:t>GeoGebra</w:t>
      </w:r>
      <w:proofErr w:type="spellEnd"/>
      <w:r w:rsidR="00416BD3">
        <w:rPr>
          <w:rFonts w:ascii="Arial" w:hAnsi="Arial" w:cs="Arial"/>
          <w:color w:val="000000"/>
        </w:rPr>
        <w:t xml:space="preserve"> </w:t>
      </w:r>
      <w:proofErr w:type="spellStart"/>
      <w:r w:rsidR="00416BD3">
        <w:rPr>
          <w:rFonts w:ascii="Arial" w:hAnsi="Arial" w:cs="Arial"/>
          <w:color w:val="000000"/>
        </w:rPr>
        <w:t>Institute</w:t>
      </w:r>
      <w:proofErr w:type="spellEnd"/>
      <w:r w:rsidR="00416BD3">
        <w:rPr>
          <w:rFonts w:ascii="Arial" w:hAnsi="Arial" w:cs="Arial"/>
          <w:color w:val="000000"/>
        </w:rPr>
        <w:t xml:space="preserve">, 2016). </w:t>
      </w:r>
    </w:p>
    <w:p w:rsidR="00371959" w:rsidRPr="00416BD3" w:rsidRDefault="009F0CE6" w:rsidP="00416BD3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961083">
        <w:rPr>
          <w:rFonts w:ascii="Arial" w:hAnsi="Arial" w:cs="Arial"/>
          <w:color w:val="000000"/>
        </w:rPr>
        <w:t>l manual se desarrolló</w:t>
      </w:r>
      <w:r>
        <w:rPr>
          <w:rFonts w:ascii="Arial" w:hAnsi="Arial" w:cs="Arial"/>
          <w:color w:val="000000"/>
        </w:rPr>
        <w:t xml:space="preserve"> considera</w:t>
      </w:r>
      <w:r w:rsidR="00961083">
        <w:rPr>
          <w:rFonts w:ascii="Arial" w:hAnsi="Arial" w:cs="Arial"/>
          <w:color w:val="000000"/>
        </w:rPr>
        <w:t xml:space="preserve">ndo </w:t>
      </w:r>
      <w:r>
        <w:rPr>
          <w:rFonts w:ascii="Arial" w:hAnsi="Arial" w:cs="Arial"/>
          <w:color w:val="000000"/>
        </w:rPr>
        <w:t xml:space="preserve">una aproximación a los diferentes recursos que ofrece </w:t>
      </w:r>
      <w:proofErr w:type="spellStart"/>
      <w:r>
        <w:rPr>
          <w:rFonts w:ascii="Arial" w:hAnsi="Arial" w:cs="Arial"/>
          <w:color w:val="000000"/>
        </w:rPr>
        <w:t>Geogebra</w:t>
      </w:r>
      <w:proofErr w:type="spellEnd"/>
      <w:r>
        <w:rPr>
          <w:rFonts w:ascii="Arial" w:hAnsi="Arial" w:cs="Arial"/>
          <w:color w:val="000000"/>
        </w:rPr>
        <w:t xml:space="preserve"> para el tratamiento de vectores, así como actividades de reflexión y aplicación. </w:t>
      </w:r>
      <w:r w:rsidR="00961083">
        <w:rPr>
          <w:rFonts w:ascii="Arial" w:hAnsi="Arial" w:cs="Arial"/>
          <w:color w:val="000000"/>
        </w:rPr>
        <w:t xml:space="preserve">El recurso constituye una herramienta alternativa para los profesores de Educación Media Superior de la UAN. </w:t>
      </w:r>
    </w:p>
    <w:p w:rsidR="007F4D11" w:rsidRPr="00961083" w:rsidRDefault="00961083" w:rsidP="00961083">
      <w:pPr>
        <w:ind w:firstLine="0"/>
        <w:rPr>
          <w:rFonts w:ascii="Arial" w:hAnsi="Arial" w:cs="Arial"/>
          <w:sz w:val="24"/>
          <w:szCs w:val="24"/>
        </w:rPr>
      </w:pPr>
      <w:r w:rsidRPr="00961083">
        <w:rPr>
          <w:rFonts w:ascii="Arial" w:hAnsi="Arial" w:cs="Arial"/>
          <w:sz w:val="24"/>
          <w:szCs w:val="24"/>
        </w:rPr>
        <w:t>Referencias</w:t>
      </w:r>
    </w:p>
    <w:p w:rsidR="00961083" w:rsidRDefault="00961083" w:rsidP="00961083">
      <w:pPr>
        <w:ind w:firstLine="0"/>
        <w:rPr>
          <w:rFonts w:ascii="Arial" w:eastAsia="Times New Roman" w:hAnsi="Arial" w:cs="Arial"/>
          <w:sz w:val="24"/>
          <w:szCs w:val="24"/>
          <w:lang w:eastAsia="es-MX"/>
        </w:rPr>
      </w:pPr>
    </w:p>
    <w:p w:rsidR="00961083" w:rsidRPr="00961083" w:rsidRDefault="00961083" w:rsidP="00961083">
      <w:pPr>
        <w:ind w:firstLine="0"/>
        <w:rPr>
          <w:rFonts w:ascii="Arial" w:eastAsia="Times New Roman" w:hAnsi="Arial" w:cs="Arial"/>
          <w:sz w:val="24"/>
          <w:szCs w:val="24"/>
          <w:lang w:eastAsia="es-MX"/>
        </w:rPr>
      </w:pPr>
      <w:r w:rsidRPr="00961083">
        <w:rPr>
          <w:rFonts w:ascii="Arial" w:eastAsia="Times New Roman" w:hAnsi="Arial" w:cs="Arial"/>
          <w:sz w:val="24"/>
          <w:szCs w:val="24"/>
          <w:lang w:eastAsia="es-MX"/>
        </w:rPr>
        <w:t xml:space="preserve">Cabero, J. (2004).Tecnología educativa. Diseño y utilización de medios en la enseñanza. Barcelona: Paidós. </w:t>
      </w:r>
    </w:p>
    <w:p w:rsidR="00961083" w:rsidRPr="00961083" w:rsidRDefault="00961083" w:rsidP="007F4D11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F4D11" w:rsidRPr="00961083" w:rsidRDefault="00961083" w:rsidP="00961083">
      <w:pPr>
        <w:ind w:firstLine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6108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Costa, V. y  Di </w:t>
      </w:r>
      <w:proofErr w:type="spellStart"/>
      <w:r w:rsidRPr="00961083">
        <w:rPr>
          <w:rFonts w:ascii="Arial" w:hAnsi="Arial" w:cs="Arial"/>
          <w:color w:val="222222"/>
          <w:sz w:val="24"/>
          <w:szCs w:val="24"/>
          <w:shd w:val="clear" w:color="auto" w:fill="FFFFFF"/>
        </w:rPr>
        <w:t>Domenicantonio</w:t>
      </w:r>
      <w:proofErr w:type="spellEnd"/>
      <w:r w:rsidRPr="0096108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R. </w:t>
      </w:r>
      <w:r w:rsidR="009F0CE6" w:rsidRPr="00961083">
        <w:rPr>
          <w:rFonts w:ascii="Arial" w:hAnsi="Arial" w:cs="Arial"/>
          <w:color w:val="222222"/>
          <w:sz w:val="24"/>
          <w:szCs w:val="24"/>
          <w:shd w:val="clear" w:color="auto" w:fill="FFFFFF"/>
        </w:rPr>
        <w:t>(2006). Visualización de campos vectoriales usando Maple 8. </w:t>
      </w:r>
      <w:r w:rsidR="009F0CE6" w:rsidRPr="00961083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Experiencias Docentes en Ingeniería</w:t>
      </w:r>
      <w:r w:rsidR="009F0CE6" w:rsidRPr="00961083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r w:rsidR="009F0CE6" w:rsidRPr="00961083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1</w:t>
      </w:r>
      <w:r w:rsidR="009F0CE6" w:rsidRPr="00961083">
        <w:rPr>
          <w:rFonts w:ascii="Arial" w:hAnsi="Arial" w:cs="Arial"/>
          <w:color w:val="222222"/>
          <w:sz w:val="24"/>
          <w:szCs w:val="24"/>
          <w:shd w:val="clear" w:color="auto" w:fill="FFFFFF"/>
        </w:rPr>
        <w:t>, 357-364.</w:t>
      </w:r>
    </w:p>
    <w:p w:rsidR="00961083" w:rsidRDefault="00961083" w:rsidP="00961083">
      <w:pPr>
        <w:ind w:firstLine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961083" w:rsidRPr="00961083" w:rsidRDefault="00961083" w:rsidP="00961083">
      <w:pPr>
        <w:ind w:firstLine="0"/>
        <w:rPr>
          <w:rFonts w:ascii="Arial" w:eastAsia="Times New Roman" w:hAnsi="Arial" w:cs="Arial"/>
          <w:sz w:val="24"/>
          <w:szCs w:val="24"/>
          <w:lang w:eastAsia="es-MX"/>
        </w:rPr>
      </w:pPr>
      <w:r w:rsidRPr="00961083">
        <w:rPr>
          <w:rFonts w:ascii="Arial" w:eastAsia="Times New Roman" w:hAnsi="Arial" w:cs="Arial"/>
          <w:sz w:val="24"/>
          <w:szCs w:val="24"/>
          <w:lang w:eastAsia="es-MX"/>
        </w:rPr>
        <w:t xml:space="preserve">International </w:t>
      </w:r>
      <w:proofErr w:type="spellStart"/>
      <w:r w:rsidRPr="00961083">
        <w:rPr>
          <w:rFonts w:ascii="Arial" w:eastAsia="Times New Roman" w:hAnsi="Arial" w:cs="Arial"/>
          <w:sz w:val="24"/>
          <w:szCs w:val="24"/>
          <w:lang w:eastAsia="es-MX"/>
        </w:rPr>
        <w:t>GeoGebra</w:t>
      </w:r>
      <w:proofErr w:type="spellEnd"/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MX"/>
        </w:rPr>
        <w:t>Institute</w:t>
      </w:r>
      <w:proofErr w:type="spellEnd"/>
      <w:r>
        <w:rPr>
          <w:rFonts w:ascii="Arial" w:eastAsia="Times New Roman" w:hAnsi="Arial" w:cs="Arial"/>
          <w:sz w:val="24"/>
          <w:szCs w:val="24"/>
          <w:lang w:eastAsia="es-MX"/>
        </w:rPr>
        <w:t>. (4 de enero de 2017</w:t>
      </w:r>
      <w:r w:rsidRPr="00961083">
        <w:rPr>
          <w:rFonts w:ascii="Arial" w:eastAsia="Times New Roman" w:hAnsi="Arial" w:cs="Arial"/>
          <w:sz w:val="24"/>
          <w:szCs w:val="24"/>
          <w:lang w:eastAsia="es-MX"/>
        </w:rPr>
        <w:t xml:space="preserve">). </w:t>
      </w:r>
      <w:proofErr w:type="spellStart"/>
      <w:r w:rsidRPr="00961083">
        <w:rPr>
          <w:rFonts w:ascii="Arial" w:eastAsia="Times New Roman" w:hAnsi="Arial" w:cs="Arial"/>
          <w:sz w:val="24"/>
          <w:szCs w:val="24"/>
          <w:lang w:eastAsia="es-MX"/>
        </w:rPr>
        <w:t>Geogebra</w:t>
      </w:r>
      <w:proofErr w:type="spellEnd"/>
      <w:r w:rsidRPr="00961083">
        <w:rPr>
          <w:rFonts w:ascii="Arial" w:eastAsia="Times New Roman" w:hAnsi="Arial" w:cs="Arial"/>
          <w:sz w:val="24"/>
          <w:szCs w:val="24"/>
          <w:lang w:eastAsia="es-MX"/>
        </w:rPr>
        <w:t xml:space="preserve">. Obtenido de </w:t>
      </w:r>
      <w:r>
        <w:rPr>
          <w:rFonts w:ascii="Arial" w:eastAsia="Times New Roman" w:hAnsi="Arial" w:cs="Arial"/>
          <w:sz w:val="24"/>
          <w:szCs w:val="24"/>
          <w:lang w:eastAsia="es-MX"/>
        </w:rPr>
        <w:t>https://www.geogebra.org/abou</w:t>
      </w:r>
    </w:p>
    <w:p w:rsidR="00961083" w:rsidRPr="007F4D11" w:rsidRDefault="00961083" w:rsidP="00961083">
      <w:pPr>
        <w:ind w:firstLine="0"/>
        <w:rPr>
          <w:rFonts w:ascii="Arial" w:hAnsi="Arial" w:cs="Arial"/>
          <w:b/>
          <w:sz w:val="24"/>
          <w:szCs w:val="24"/>
        </w:rPr>
      </w:pPr>
    </w:p>
    <w:sectPr w:rsidR="00961083" w:rsidRPr="007F4D11" w:rsidSect="007F4D11">
      <w:footerReference w:type="default" r:id="rId8"/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D11" w:rsidRDefault="007F4D11" w:rsidP="007F4D11">
      <w:r>
        <w:separator/>
      </w:r>
    </w:p>
  </w:endnote>
  <w:endnote w:type="continuationSeparator" w:id="0">
    <w:p w:rsidR="007F4D11" w:rsidRDefault="007F4D11" w:rsidP="007F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D11" w:rsidRDefault="007F4D11" w:rsidP="007F4D1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D11" w:rsidRDefault="007F4D11" w:rsidP="007F4D11">
      <w:r>
        <w:separator/>
      </w:r>
    </w:p>
  </w:footnote>
  <w:footnote w:type="continuationSeparator" w:id="0">
    <w:p w:rsidR="007F4D11" w:rsidRDefault="007F4D11" w:rsidP="007F4D11">
      <w:r>
        <w:continuationSeparator/>
      </w:r>
    </w:p>
  </w:footnote>
  <w:footnote w:id="1">
    <w:p w:rsidR="007F4D11" w:rsidRPr="00E95A83" w:rsidRDefault="007F4D11" w:rsidP="007F4D11">
      <w:pPr>
        <w:pStyle w:val="Textonotapie"/>
        <w:ind w:firstLine="0"/>
        <w:rPr>
          <w:b/>
          <w:color w:val="FF0000"/>
          <w:sz w:val="18"/>
        </w:rPr>
      </w:pPr>
      <w:r w:rsidRPr="00E95A83">
        <w:rPr>
          <w:rStyle w:val="Refdenotaalpie"/>
          <w:sz w:val="16"/>
        </w:rPr>
        <w:footnoteRef/>
      </w:r>
      <w:r w:rsidRPr="00E95A83">
        <w:rPr>
          <w:sz w:val="18"/>
        </w:rPr>
        <w:t>U</w:t>
      </w:r>
      <w:r>
        <w:rPr>
          <w:sz w:val="18"/>
        </w:rPr>
        <w:t>niversidad Autónoma de Nayarit</w:t>
      </w:r>
    </w:p>
  </w:footnote>
  <w:footnote w:id="2">
    <w:p w:rsidR="007F4D11" w:rsidRPr="00E95A83" w:rsidRDefault="007F4D11" w:rsidP="007F4D11">
      <w:pPr>
        <w:pStyle w:val="Textonotapie"/>
        <w:ind w:left="90" w:hanging="90"/>
        <w:rPr>
          <w:sz w:val="18"/>
        </w:rPr>
      </w:pPr>
      <w:r w:rsidRPr="00E95A83">
        <w:rPr>
          <w:rStyle w:val="Refdenotaalpie"/>
          <w:sz w:val="16"/>
        </w:rPr>
        <w:footnoteRef/>
      </w:r>
      <w:r w:rsidRPr="00E95A83">
        <w:rPr>
          <w:sz w:val="18"/>
        </w:rPr>
        <w:t xml:space="preserve">Universidad Autónoma </w:t>
      </w:r>
      <w:r>
        <w:rPr>
          <w:sz w:val="18"/>
        </w:rPr>
        <w:t>de Nayarit</w:t>
      </w:r>
      <w:bookmarkStart w:id="0" w:name="_GoBack"/>
      <w:bookmarkEnd w:id="0"/>
    </w:p>
  </w:footnote>
  <w:footnote w:id="3">
    <w:p w:rsidR="007F4D11" w:rsidRPr="00E95A83" w:rsidRDefault="007F4D11" w:rsidP="007F4D11">
      <w:pPr>
        <w:pStyle w:val="Textonotapie"/>
        <w:ind w:left="90" w:hanging="90"/>
        <w:rPr>
          <w:sz w:val="18"/>
        </w:rPr>
      </w:pPr>
      <w:r w:rsidRPr="00E95A83">
        <w:rPr>
          <w:rStyle w:val="Refdenotaalpie"/>
          <w:sz w:val="16"/>
        </w:rPr>
        <w:footnoteRef/>
      </w:r>
      <w:r w:rsidRPr="00E95A83">
        <w:rPr>
          <w:sz w:val="18"/>
        </w:rPr>
        <w:t>Universi</w:t>
      </w:r>
      <w:r>
        <w:rPr>
          <w:sz w:val="18"/>
        </w:rPr>
        <w:t>dad Autónoma de Nayarit,</w:t>
      </w:r>
      <w:r w:rsidRPr="00E95A83">
        <w:rPr>
          <w:sz w:val="18"/>
        </w:rPr>
        <w:t xml:space="preserve"> </w:t>
      </w:r>
    </w:p>
  </w:footnote>
  <w:footnote w:id="4">
    <w:p w:rsidR="007F4D11" w:rsidRPr="008E46BD" w:rsidRDefault="007F4D11" w:rsidP="008E46BD">
      <w:pPr>
        <w:pStyle w:val="Textonotapie"/>
        <w:ind w:left="90" w:hanging="90"/>
        <w:rPr>
          <w:sz w:val="18"/>
        </w:rPr>
      </w:pPr>
      <w:r w:rsidRPr="00E95A83">
        <w:rPr>
          <w:rStyle w:val="Refdenotaalpie"/>
          <w:sz w:val="16"/>
        </w:rPr>
        <w:footnoteRef/>
      </w:r>
      <w:r w:rsidRPr="00E95A83">
        <w:rPr>
          <w:sz w:val="18"/>
        </w:rPr>
        <w:t>Universi</w:t>
      </w:r>
      <w:r w:rsidR="008E46BD">
        <w:rPr>
          <w:sz w:val="18"/>
        </w:rPr>
        <w:t>dad Autónoma de Nayarit,</w:t>
      </w:r>
    </w:p>
  </w:footnote>
  <w:footnote w:id="5">
    <w:p w:rsidR="008E46BD" w:rsidRDefault="008E46BD" w:rsidP="008E46BD">
      <w:pPr>
        <w:pStyle w:val="Textonotapie"/>
        <w:ind w:left="90" w:hanging="90"/>
        <w:rPr>
          <w:sz w:val="18"/>
        </w:rPr>
      </w:pPr>
      <w:r w:rsidRPr="00E95A83">
        <w:rPr>
          <w:rStyle w:val="Refdenotaalpie"/>
          <w:sz w:val="16"/>
        </w:rPr>
        <w:footnoteRef/>
      </w:r>
      <w:r w:rsidRPr="00E95A83">
        <w:rPr>
          <w:sz w:val="18"/>
        </w:rPr>
        <w:t>Universi</w:t>
      </w:r>
      <w:r>
        <w:rPr>
          <w:sz w:val="18"/>
        </w:rPr>
        <w:t>dad Autónoma de Nayarit,</w:t>
      </w:r>
    </w:p>
    <w:p w:rsidR="008E46BD" w:rsidRPr="00A8096C" w:rsidRDefault="008E46BD" w:rsidP="008E46BD">
      <w:pPr>
        <w:pStyle w:val="Textonotapie"/>
        <w:ind w:left="90" w:hanging="9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34D9"/>
    <w:multiLevelType w:val="hybridMultilevel"/>
    <w:tmpl w:val="3B569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56B0"/>
    <w:multiLevelType w:val="hybridMultilevel"/>
    <w:tmpl w:val="C6D0C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8663F"/>
    <w:multiLevelType w:val="hybridMultilevel"/>
    <w:tmpl w:val="9A8EBF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236F4"/>
    <w:multiLevelType w:val="hybridMultilevel"/>
    <w:tmpl w:val="E820AA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11"/>
    <w:rsid w:val="00371959"/>
    <w:rsid w:val="00416BD3"/>
    <w:rsid w:val="007F4D11"/>
    <w:rsid w:val="008E46BD"/>
    <w:rsid w:val="00961083"/>
    <w:rsid w:val="009F0CE6"/>
    <w:rsid w:val="00B24D1A"/>
    <w:rsid w:val="00B619EA"/>
    <w:rsid w:val="00FD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53910-8817-4B29-84B8-F5F79130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D11"/>
    <w:pPr>
      <w:spacing w:after="0" w:line="240" w:lineRule="auto"/>
      <w:ind w:firstLine="270"/>
    </w:pPr>
    <w:rPr>
      <w:rFonts w:ascii="Times New Roman" w:eastAsia="Calibri" w:hAnsi="Times New Roman" w:cs="Times New Roman"/>
      <w:sz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7F4D11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4D11"/>
    <w:rPr>
      <w:rFonts w:ascii="Times New Roman" w:eastAsia="Calibri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F4D11"/>
    <w:rPr>
      <w:vertAlign w:val="superscript"/>
    </w:rPr>
  </w:style>
  <w:style w:type="table" w:styleId="Tablaconcuadrcula">
    <w:name w:val="Table Grid"/>
    <w:basedOn w:val="Tablanormal"/>
    <w:uiPriority w:val="59"/>
    <w:rsid w:val="007F4D1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F4D1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4D11"/>
    <w:rPr>
      <w:rFonts w:ascii="Times New Roman" w:eastAsia="Calibri" w:hAnsi="Times New Roman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7F4D1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D11"/>
    <w:rPr>
      <w:rFonts w:ascii="Times New Roman" w:eastAsia="Calibri" w:hAnsi="Times New Roman" w:cs="Times New Roman"/>
      <w:sz w:val="20"/>
    </w:rPr>
  </w:style>
  <w:style w:type="paragraph" w:customStyle="1" w:styleId="Autores">
    <w:name w:val="Autores"/>
    <w:basedOn w:val="Normal"/>
    <w:link w:val="AutoresChar"/>
    <w:qFormat/>
    <w:rsid w:val="007F4D11"/>
    <w:pPr>
      <w:autoSpaceDE w:val="0"/>
      <w:autoSpaceDN w:val="0"/>
      <w:spacing w:before="225" w:after="330"/>
      <w:jc w:val="center"/>
    </w:pPr>
    <w:rPr>
      <w:rFonts w:eastAsia="Times New Roman"/>
      <w:color w:val="1F497D"/>
    </w:rPr>
  </w:style>
  <w:style w:type="paragraph" w:customStyle="1" w:styleId="Resumen">
    <w:name w:val="Resumen"/>
    <w:basedOn w:val="Normal"/>
    <w:link w:val="ResumenChar"/>
    <w:qFormat/>
    <w:rsid w:val="007F4D11"/>
    <w:pPr>
      <w:autoSpaceDE w:val="0"/>
      <w:autoSpaceDN w:val="0"/>
      <w:spacing w:before="20"/>
      <w:ind w:firstLine="202"/>
      <w:jc w:val="both"/>
    </w:pPr>
    <w:rPr>
      <w:rFonts w:eastAsia="Times New Roman"/>
      <w:b/>
      <w:bCs/>
      <w:iCs/>
      <w:color w:val="1F497D"/>
      <w:sz w:val="18"/>
      <w:szCs w:val="18"/>
    </w:rPr>
  </w:style>
  <w:style w:type="character" w:customStyle="1" w:styleId="AutoresChar">
    <w:name w:val="Autores Char"/>
    <w:basedOn w:val="Fuentedeprrafopredeter"/>
    <w:link w:val="Autores"/>
    <w:rsid w:val="007F4D11"/>
    <w:rPr>
      <w:rFonts w:ascii="Times New Roman" w:eastAsia="Times New Roman" w:hAnsi="Times New Roman" w:cs="Times New Roman"/>
      <w:color w:val="1F497D"/>
      <w:sz w:val="20"/>
    </w:rPr>
  </w:style>
  <w:style w:type="character" w:customStyle="1" w:styleId="ResumenChar">
    <w:name w:val="Resumen Char"/>
    <w:basedOn w:val="Fuentedeprrafopredeter"/>
    <w:link w:val="Resumen"/>
    <w:rsid w:val="007F4D11"/>
    <w:rPr>
      <w:rFonts w:ascii="Times New Roman" w:eastAsia="Times New Roman" w:hAnsi="Times New Roman" w:cs="Times New Roman"/>
      <w:b/>
      <w:bCs/>
      <w:iCs/>
      <w:color w:val="1F497D"/>
      <w:sz w:val="18"/>
      <w:szCs w:val="18"/>
    </w:rPr>
  </w:style>
  <w:style w:type="paragraph" w:styleId="Prrafodelista">
    <w:name w:val="List Paragraph"/>
    <w:basedOn w:val="Normal"/>
    <w:uiPriority w:val="34"/>
    <w:qFormat/>
    <w:rsid w:val="007F4D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46BD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8E46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Int16</b:Tag>
    <b:SourceType>InternetSite</b:SourceType>
    <b:Guid>{E933411B-7F0E-4451-8A60-229B56DA84EC}</b:Guid>
    <b:Title>Geogebra</b:Title>
    <b:Year>2016</b:Year>
    <b:Author>
      <b:Author>
        <b:Corporate> International GeoGebra Institute</b:Corporate>
      </b:Author>
    </b:Author>
    <b:Month>Agosto</b:Month>
    <b:Day>4</b:Day>
    <b:URL>https://www.geogebra.org/?lang=es</b:URL>
    <b:RefOrder>1</b:RefOrder>
  </b:Source>
</b:Sources>
</file>

<file path=customXml/itemProps1.xml><?xml version="1.0" encoding="utf-8"?>
<ds:datastoreItem xmlns:ds="http://schemas.openxmlformats.org/officeDocument/2006/customXml" ds:itemID="{8D66836B-EA85-48B9-BC8B-CD6DA4F8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</dc:creator>
  <cp:keywords/>
  <dc:description/>
  <cp:lastModifiedBy>ROMY</cp:lastModifiedBy>
  <cp:revision>2</cp:revision>
  <dcterms:created xsi:type="dcterms:W3CDTF">2017-08-24T13:09:00Z</dcterms:created>
  <dcterms:modified xsi:type="dcterms:W3CDTF">2017-08-24T13:09:00Z</dcterms:modified>
</cp:coreProperties>
</file>