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F1F" w:rsidRPr="0006081F" w:rsidRDefault="002C3F1F" w:rsidP="002C3F1F">
      <w:pPr>
        <w:jc w:val="center"/>
        <w:rPr>
          <w:rFonts w:ascii="Arial" w:hAnsi="Arial" w:cs="Arial"/>
          <w:b/>
          <w:sz w:val="24"/>
          <w:szCs w:val="24"/>
        </w:rPr>
      </w:pPr>
      <w:r w:rsidRPr="0006081F">
        <w:rPr>
          <w:rFonts w:ascii="Arial" w:hAnsi="Arial" w:cs="Arial"/>
          <w:b/>
          <w:sz w:val="24"/>
          <w:szCs w:val="24"/>
        </w:rPr>
        <w:t xml:space="preserve">Determinación de Ocratoxina </w:t>
      </w:r>
      <w:proofErr w:type="gramStart"/>
      <w:r w:rsidRPr="0006081F">
        <w:rPr>
          <w:rFonts w:ascii="Arial" w:hAnsi="Arial" w:cs="Arial"/>
          <w:b/>
          <w:sz w:val="24"/>
          <w:szCs w:val="24"/>
        </w:rPr>
        <w:t>A</w:t>
      </w:r>
      <w:proofErr w:type="gramEnd"/>
      <w:r w:rsidRPr="0006081F">
        <w:rPr>
          <w:rFonts w:ascii="Arial" w:hAnsi="Arial" w:cs="Arial"/>
          <w:b/>
          <w:sz w:val="24"/>
          <w:szCs w:val="24"/>
        </w:rPr>
        <w:t xml:space="preserve"> en café producido en el Estado de Nayarit, México</w:t>
      </w:r>
    </w:p>
    <w:p w:rsidR="002C3F1F" w:rsidRDefault="002C3F1F" w:rsidP="00A07B2D">
      <w:pPr>
        <w:spacing w:line="276" w:lineRule="auto"/>
        <w:jc w:val="both"/>
        <w:rPr>
          <w:rFonts w:ascii="Arial" w:hAnsi="Arial" w:cs="Arial"/>
          <w:sz w:val="24"/>
          <w:szCs w:val="24"/>
        </w:rPr>
      </w:pPr>
      <w:r w:rsidRPr="0006081F">
        <w:rPr>
          <w:rFonts w:ascii="Arial" w:hAnsi="Arial" w:cs="Arial"/>
          <w:sz w:val="24"/>
          <w:szCs w:val="24"/>
        </w:rPr>
        <w:t>Carrillo</w:t>
      </w:r>
      <w:r>
        <w:rPr>
          <w:rFonts w:ascii="Arial" w:hAnsi="Arial" w:cs="Arial"/>
          <w:sz w:val="24"/>
          <w:szCs w:val="24"/>
        </w:rPr>
        <w:t xml:space="preserve"> Villalobos R</w:t>
      </w:r>
      <w:r w:rsidR="00AF13FF">
        <w:rPr>
          <w:rFonts w:ascii="Arial" w:hAnsi="Arial" w:cs="Arial"/>
          <w:sz w:val="24"/>
          <w:szCs w:val="24"/>
        </w:rPr>
        <w:t>egina</w:t>
      </w:r>
      <w:r w:rsidR="00D71C21" w:rsidRPr="00D71C21">
        <w:rPr>
          <w:rFonts w:ascii="Arial" w:hAnsi="Arial" w:cs="Arial"/>
          <w:sz w:val="24"/>
          <w:szCs w:val="24"/>
          <w:vertAlign w:val="superscript"/>
        </w:rPr>
        <w:t>2</w:t>
      </w:r>
      <w:r>
        <w:rPr>
          <w:rFonts w:ascii="Arial" w:hAnsi="Arial" w:cs="Arial"/>
          <w:sz w:val="24"/>
          <w:szCs w:val="24"/>
        </w:rPr>
        <w:t xml:space="preserve">; </w:t>
      </w:r>
      <w:r w:rsidRPr="0006081F">
        <w:rPr>
          <w:rFonts w:ascii="Arial" w:hAnsi="Arial" w:cs="Arial"/>
          <w:sz w:val="24"/>
          <w:szCs w:val="24"/>
        </w:rPr>
        <w:t>Zambrano Soria M</w:t>
      </w:r>
      <w:r w:rsidR="00D71C21" w:rsidRPr="00D71C21">
        <w:rPr>
          <w:rFonts w:ascii="Arial" w:hAnsi="Arial" w:cs="Arial"/>
          <w:sz w:val="24"/>
          <w:szCs w:val="24"/>
          <w:vertAlign w:val="superscript"/>
        </w:rPr>
        <w:t>3</w:t>
      </w:r>
      <w:r w:rsidRPr="0006081F">
        <w:rPr>
          <w:rFonts w:ascii="Arial" w:hAnsi="Arial" w:cs="Arial"/>
          <w:sz w:val="24"/>
          <w:szCs w:val="24"/>
        </w:rPr>
        <w:t>; Bueno Durán A</w:t>
      </w:r>
      <w:r w:rsidR="00CC40B6">
        <w:rPr>
          <w:rFonts w:ascii="Arial" w:hAnsi="Arial" w:cs="Arial"/>
          <w:sz w:val="24"/>
          <w:szCs w:val="24"/>
        </w:rPr>
        <w:t>.Y</w:t>
      </w:r>
      <w:r w:rsidR="00D71C21" w:rsidRPr="00D71C21">
        <w:rPr>
          <w:rFonts w:ascii="Arial" w:hAnsi="Arial" w:cs="Arial"/>
          <w:sz w:val="24"/>
          <w:szCs w:val="24"/>
          <w:vertAlign w:val="superscript"/>
        </w:rPr>
        <w:t>2,3</w:t>
      </w:r>
      <w:r w:rsidRPr="0006081F">
        <w:rPr>
          <w:rFonts w:ascii="Arial" w:hAnsi="Arial" w:cs="Arial"/>
          <w:sz w:val="24"/>
          <w:szCs w:val="24"/>
        </w:rPr>
        <w:t xml:space="preserve">; </w:t>
      </w:r>
      <w:r w:rsidR="00C852A6">
        <w:rPr>
          <w:rFonts w:ascii="Arial" w:hAnsi="Arial" w:cs="Arial"/>
          <w:sz w:val="24"/>
          <w:szCs w:val="24"/>
        </w:rPr>
        <w:t xml:space="preserve">Robledo </w:t>
      </w:r>
      <w:proofErr w:type="spellStart"/>
      <w:r w:rsidR="00C852A6">
        <w:rPr>
          <w:rFonts w:ascii="Arial" w:hAnsi="Arial" w:cs="Arial"/>
          <w:sz w:val="24"/>
          <w:szCs w:val="24"/>
        </w:rPr>
        <w:t>Gutierréz</w:t>
      </w:r>
      <w:proofErr w:type="spellEnd"/>
      <w:r w:rsidR="00C852A6">
        <w:rPr>
          <w:rFonts w:ascii="Arial" w:hAnsi="Arial" w:cs="Arial"/>
          <w:sz w:val="24"/>
          <w:szCs w:val="24"/>
        </w:rPr>
        <w:t xml:space="preserve"> R.G</w:t>
      </w:r>
      <w:r w:rsidR="00D71C21" w:rsidRPr="00D71C21">
        <w:rPr>
          <w:rFonts w:ascii="Arial" w:hAnsi="Arial" w:cs="Arial"/>
          <w:sz w:val="24"/>
          <w:szCs w:val="24"/>
          <w:vertAlign w:val="superscript"/>
        </w:rPr>
        <w:t>2</w:t>
      </w:r>
      <w:r w:rsidR="00C852A6">
        <w:rPr>
          <w:rFonts w:ascii="Arial" w:hAnsi="Arial" w:cs="Arial"/>
          <w:sz w:val="24"/>
          <w:szCs w:val="24"/>
        </w:rPr>
        <w:t xml:space="preserve">; Navidad </w:t>
      </w:r>
      <w:r w:rsidRPr="0006081F">
        <w:rPr>
          <w:rFonts w:ascii="Arial" w:hAnsi="Arial" w:cs="Arial"/>
          <w:sz w:val="24"/>
          <w:szCs w:val="24"/>
        </w:rPr>
        <w:t>Murrieta M.S</w:t>
      </w:r>
      <w:r w:rsidR="00D71C21" w:rsidRPr="00D71C21">
        <w:rPr>
          <w:rFonts w:ascii="Arial" w:hAnsi="Arial" w:cs="Arial"/>
          <w:sz w:val="24"/>
          <w:szCs w:val="24"/>
          <w:vertAlign w:val="superscript"/>
        </w:rPr>
        <w:t>3</w:t>
      </w:r>
      <w:r w:rsidRPr="0006081F">
        <w:rPr>
          <w:rFonts w:ascii="Arial" w:hAnsi="Arial" w:cs="Arial"/>
          <w:sz w:val="24"/>
          <w:szCs w:val="24"/>
        </w:rPr>
        <w:t>; Ventura Ramón G.H</w:t>
      </w:r>
      <w:r w:rsidR="00D71C21" w:rsidRPr="00D71C21">
        <w:rPr>
          <w:rFonts w:ascii="Arial" w:hAnsi="Arial" w:cs="Arial"/>
          <w:sz w:val="24"/>
          <w:szCs w:val="24"/>
          <w:vertAlign w:val="superscript"/>
        </w:rPr>
        <w:t>2,3</w:t>
      </w:r>
      <w:r w:rsidRPr="0006081F">
        <w:rPr>
          <w:rFonts w:ascii="Arial" w:hAnsi="Arial" w:cs="Arial"/>
          <w:sz w:val="24"/>
          <w:szCs w:val="24"/>
        </w:rPr>
        <w:t>; Toledo Ibarra G.A</w:t>
      </w:r>
      <w:r w:rsidR="00D71C21" w:rsidRPr="00D71C21">
        <w:rPr>
          <w:rFonts w:ascii="Arial" w:hAnsi="Arial" w:cs="Arial"/>
          <w:sz w:val="24"/>
          <w:szCs w:val="24"/>
          <w:vertAlign w:val="superscript"/>
        </w:rPr>
        <w:t>1,3</w:t>
      </w:r>
      <w:r w:rsidRPr="0006081F">
        <w:rPr>
          <w:rFonts w:ascii="Arial" w:hAnsi="Arial" w:cs="Arial"/>
          <w:sz w:val="24"/>
          <w:szCs w:val="24"/>
        </w:rPr>
        <w:t>; Barcelos García R.G</w:t>
      </w:r>
      <w:r w:rsidR="00D71C21" w:rsidRPr="00D71C21">
        <w:rPr>
          <w:rFonts w:ascii="Arial" w:hAnsi="Arial" w:cs="Arial"/>
          <w:sz w:val="24"/>
          <w:szCs w:val="24"/>
          <w:vertAlign w:val="superscript"/>
        </w:rPr>
        <w:t>3</w:t>
      </w:r>
      <w:r w:rsidRPr="0006081F">
        <w:rPr>
          <w:rFonts w:ascii="Arial" w:hAnsi="Arial" w:cs="Arial"/>
          <w:sz w:val="24"/>
          <w:szCs w:val="24"/>
        </w:rPr>
        <w:t>; Girón Pérez M. I</w:t>
      </w:r>
      <w:r w:rsidR="00D71C21" w:rsidRPr="00D71C21">
        <w:rPr>
          <w:rFonts w:ascii="Arial" w:hAnsi="Arial" w:cs="Arial"/>
          <w:sz w:val="24"/>
          <w:szCs w:val="24"/>
          <w:vertAlign w:val="superscript"/>
        </w:rPr>
        <w:t>1,3</w:t>
      </w:r>
      <w:r w:rsidRPr="0006081F">
        <w:rPr>
          <w:rFonts w:ascii="Arial" w:hAnsi="Arial" w:cs="Arial"/>
          <w:sz w:val="24"/>
          <w:szCs w:val="24"/>
        </w:rPr>
        <w:t>.</w:t>
      </w:r>
    </w:p>
    <w:p w:rsidR="00D71C21" w:rsidRPr="005D5313" w:rsidRDefault="00D71C21" w:rsidP="00D71C21">
      <w:pPr>
        <w:spacing w:after="0" w:line="240" w:lineRule="auto"/>
        <w:jc w:val="center"/>
        <w:rPr>
          <w:rFonts w:ascii="Arial" w:hAnsi="Arial" w:cs="Arial"/>
          <w:sz w:val="24"/>
          <w:szCs w:val="24"/>
        </w:rPr>
      </w:pPr>
      <w:r w:rsidRPr="005D5313">
        <w:rPr>
          <w:rFonts w:ascii="Arial" w:hAnsi="Arial" w:cs="Arial"/>
          <w:sz w:val="24"/>
          <w:szCs w:val="24"/>
        </w:rPr>
        <w:t xml:space="preserve">Universidad Autónoma de Nayarit, </w:t>
      </w:r>
      <w:r w:rsidRPr="005F115E">
        <w:rPr>
          <w:rFonts w:ascii="Arial" w:hAnsi="Arial" w:cs="Arial"/>
          <w:sz w:val="24"/>
          <w:szCs w:val="24"/>
          <w:vertAlign w:val="superscript"/>
        </w:rPr>
        <w:t>1</w:t>
      </w:r>
      <w:r>
        <w:rPr>
          <w:rFonts w:ascii="Arial" w:hAnsi="Arial" w:cs="Arial"/>
          <w:sz w:val="24"/>
          <w:szCs w:val="24"/>
        </w:rPr>
        <w:t xml:space="preserve">Secreataría de Investigación y Posgrado, </w:t>
      </w:r>
      <w:r w:rsidRPr="005F115E">
        <w:rPr>
          <w:rFonts w:ascii="Arial" w:hAnsi="Arial" w:cs="Arial"/>
          <w:sz w:val="24"/>
          <w:szCs w:val="24"/>
        </w:rPr>
        <w:t>Laboratorio</w:t>
      </w:r>
      <w:r w:rsidRPr="005D5313">
        <w:rPr>
          <w:rFonts w:ascii="Arial" w:hAnsi="Arial" w:cs="Arial"/>
          <w:sz w:val="24"/>
          <w:szCs w:val="24"/>
        </w:rPr>
        <w:t xml:space="preserve"> de </w:t>
      </w:r>
      <w:proofErr w:type="spellStart"/>
      <w:r w:rsidRPr="005D5313">
        <w:rPr>
          <w:rFonts w:ascii="Arial" w:hAnsi="Arial" w:cs="Arial"/>
          <w:sz w:val="24"/>
          <w:szCs w:val="24"/>
        </w:rPr>
        <w:t>Inmunotoxicología</w:t>
      </w:r>
      <w:proofErr w:type="spellEnd"/>
      <w:r w:rsidRPr="005D5313">
        <w:rPr>
          <w:rFonts w:ascii="Arial" w:hAnsi="Arial" w:cs="Arial"/>
          <w:sz w:val="24"/>
          <w:szCs w:val="24"/>
        </w:rPr>
        <w:t xml:space="preserve">. </w:t>
      </w:r>
      <w:r w:rsidRPr="005D5313">
        <w:rPr>
          <w:rFonts w:ascii="Arial" w:hAnsi="Arial" w:cs="Arial"/>
          <w:sz w:val="24"/>
          <w:szCs w:val="24"/>
          <w:vertAlign w:val="superscript"/>
        </w:rPr>
        <w:t>2</w:t>
      </w:r>
      <w:r w:rsidRPr="005D5313">
        <w:rPr>
          <w:rFonts w:ascii="Arial" w:hAnsi="Arial" w:cs="Arial"/>
          <w:sz w:val="24"/>
          <w:szCs w:val="24"/>
        </w:rPr>
        <w:t>Unidad Académica de Ciencias Químicas Biológicas y Farmacéuticas</w:t>
      </w:r>
      <w:r>
        <w:rPr>
          <w:rFonts w:ascii="Arial" w:hAnsi="Arial" w:cs="Arial"/>
          <w:sz w:val="24"/>
          <w:szCs w:val="24"/>
        </w:rPr>
        <w:t xml:space="preserve">. </w:t>
      </w:r>
      <w:r w:rsidRPr="005D5313">
        <w:rPr>
          <w:rFonts w:ascii="Arial" w:hAnsi="Arial" w:cs="Arial"/>
          <w:sz w:val="24"/>
          <w:szCs w:val="24"/>
        </w:rPr>
        <w:t xml:space="preserve">Cd. De la Cultura Amado Nervo. C.P. 63000. Tepic, Nayarit. </w:t>
      </w:r>
      <w:r w:rsidRPr="005F115E">
        <w:rPr>
          <w:rFonts w:ascii="Arial" w:hAnsi="Arial" w:cs="Arial"/>
          <w:sz w:val="24"/>
          <w:szCs w:val="24"/>
          <w:vertAlign w:val="superscript"/>
        </w:rPr>
        <w:t>3</w:t>
      </w:r>
      <w:r>
        <w:rPr>
          <w:rFonts w:ascii="Arial" w:hAnsi="Arial" w:cs="Arial"/>
          <w:sz w:val="24"/>
          <w:szCs w:val="24"/>
        </w:rPr>
        <w:t xml:space="preserve">Unidad Especializada </w:t>
      </w:r>
      <w:r w:rsidRPr="005F115E">
        <w:rPr>
          <w:rFonts w:ascii="Arial" w:hAnsi="Arial" w:cs="Arial"/>
          <w:sz w:val="24"/>
          <w:szCs w:val="24"/>
        </w:rPr>
        <w:t>Laboratorio</w:t>
      </w:r>
      <w:r w:rsidRPr="005D5313">
        <w:rPr>
          <w:rFonts w:ascii="Arial" w:hAnsi="Arial" w:cs="Arial"/>
          <w:sz w:val="24"/>
          <w:szCs w:val="24"/>
        </w:rPr>
        <w:t xml:space="preserve"> Nacional para la Investigación en Inocuidad Alimentaria-LANIIA-Unidad Nayarit. Centro Nayarita de Innovación y Transferencia de Tecnología A.C. Calle Tres S/N, Col. Cd. Industrial C.P. 63173. Tepic, Nayarit; México.</w:t>
      </w:r>
    </w:p>
    <w:p w:rsidR="00C12BE0" w:rsidRDefault="00C12BE0" w:rsidP="00D71C21">
      <w:pPr>
        <w:spacing w:line="276" w:lineRule="auto"/>
        <w:jc w:val="center"/>
        <w:rPr>
          <w:rFonts w:ascii="Arial" w:hAnsi="Arial" w:cs="Arial"/>
          <w:sz w:val="24"/>
          <w:szCs w:val="24"/>
        </w:rPr>
      </w:pPr>
    </w:p>
    <w:p w:rsidR="002C3F1F" w:rsidRPr="0006081F" w:rsidRDefault="002C3F1F" w:rsidP="002C3F1F">
      <w:pPr>
        <w:spacing w:line="360" w:lineRule="auto"/>
        <w:jc w:val="both"/>
        <w:rPr>
          <w:rFonts w:ascii="Arial" w:hAnsi="Arial" w:cs="Arial"/>
          <w:sz w:val="24"/>
          <w:szCs w:val="24"/>
        </w:rPr>
      </w:pPr>
      <w:r w:rsidRPr="00E7768F">
        <w:rPr>
          <w:rFonts w:ascii="Arial" w:hAnsi="Arial" w:cs="Arial"/>
          <w:b/>
          <w:sz w:val="24"/>
          <w:szCs w:val="24"/>
        </w:rPr>
        <w:t>RESUMEN:</w:t>
      </w:r>
      <w:r>
        <w:rPr>
          <w:rFonts w:ascii="Arial" w:hAnsi="Arial" w:cs="Arial"/>
          <w:b/>
          <w:sz w:val="24"/>
          <w:szCs w:val="24"/>
        </w:rPr>
        <w:t xml:space="preserve"> </w:t>
      </w:r>
      <w:r w:rsidRPr="0006081F">
        <w:rPr>
          <w:rFonts w:ascii="Arial" w:hAnsi="Arial" w:cs="Arial"/>
          <w:sz w:val="24"/>
          <w:szCs w:val="24"/>
          <w:shd w:val="clear" w:color="auto" w:fill="FFFFFF"/>
        </w:rPr>
        <w:t xml:space="preserve">La Ocratoxina A (OTA) </w:t>
      </w:r>
      <w:r w:rsidRPr="0006081F">
        <w:rPr>
          <w:rFonts w:ascii="Arial" w:hAnsi="Arial" w:cs="Arial"/>
          <w:sz w:val="24"/>
          <w:szCs w:val="24"/>
        </w:rPr>
        <w:t>es un metabolito fúngico</w:t>
      </w:r>
      <w:r w:rsidRPr="0006081F">
        <w:rPr>
          <w:rFonts w:ascii="Arial" w:hAnsi="Arial" w:cs="Arial"/>
          <w:sz w:val="24"/>
          <w:szCs w:val="24"/>
          <w:shd w:val="clear" w:color="auto" w:fill="FFFFFF"/>
        </w:rPr>
        <w:t xml:space="preserve"> producido por  los hongos del género </w:t>
      </w:r>
      <w:r w:rsidRPr="0006081F">
        <w:rPr>
          <w:rFonts w:ascii="Arial" w:hAnsi="Arial" w:cs="Arial"/>
          <w:i/>
          <w:sz w:val="24"/>
          <w:szCs w:val="24"/>
          <w:shd w:val="clear" w:color="auto" w:fill="FFFFFF"/>
        </w:rPr>
        <w:t>Aspergillus</w:t>
      </w:r>
      <w:r w:rsidRPr="0006081F">
        <w:rPr>
          <w:rFonts w:ascii="Arial" w:hAnsi="Arial" w:cs="Arial"/>
          <w:sz w:val="24"/>
          <w:szCs w:val="24"/>
          <w:shd w:val="clear" w:color="auto" w:fill="FFFFFF"/>
        </w:rPr>
        <w:t xml:space="preserve"> y </w:t>
      </w:r>
      <w:r w:rsidRPr="0006081F">
        <w:rPr>
          <w:rFonts w:ascii="Arial" w:hAnsi="Arial" w:cs="Arial"/>
          <w:i/>
          <w:sz w:val="24"/>
          <w:szCs w:val="24"/>
          <w:shd w:val="clear" w:color="auto" w:fill="FFFFFF"/>
        </w:rPr>
        <w:t>Penicillium</w:t>
      </w:r>
      <w:r>
        <w:rPr>
          <w:rFonts w:ascii="Arial" w:hAnsi="Arial" w:cs="Arial"/>
          <w:sz w:val="24"/>
          <w:szCs w:val="24"/>
          <w:shd w:val="clear" w:color="auto" w:fill="FFFFFF"/>
        </w:rPr>
        <w:t xml:space="preserve">, </w:t>
      </w:r>
      <w:r w:rsidRPr="0006081F">
        <w:rPr>
          <w:rFonts w:ascii="Arial" w:hAnsi="Arial" w:cs="Arial"/>
          <w:sz w:val="24"/>
          <w:szCs w:val="24"/>
        </w:rPr>
        <w:t>está clasificada por la Agencia Internacional para la Investigación sobre el Cáncer (IARC) como posiblemente carcinógeno para los seres humanos; grupo 2B</w:t>
      </w:r>
      <w:r>
        <w:rPr>
          <w:rFonts w:ascii="Arial" w:hAnsi="Arial" w:cs="Arial"/>
          <w:sz w:val="24"/>
          <w:szCs w:val="24"/>
        </w:rPr>
        <w:t>, siendo una micotoxina neurotóxica, inmunosupresora, genot</w:t>
      </w:r>
      <w:r w:rsidR="00013633">
        <w:rPr>
          <w:rFonts w:ascii="Arial" w:hAnsi="Arial" w:cs="Arial"/>
          <w:sz w:val="24"/>
          <w:szCs w:val="24"/>
        </w:rPr>
        <w:t xml:space="preserve">óxica, carcinógena y </w:t>
      </w:r>
      <w:r w:rsidR="00013633" w:rsidRPr="00EE2560">
        <w:rPr>
          <w:rFonts w:ascii="Arial" w:hAnsi="Arial" w:cs="Arial"/>
          <w:sz w:val="24"/>
          <w:szCs w:val="24"/>
        </w:rPr>
        <w:t>nefrotóxica</w:t>
      </w:r>
      <w:r w:rsidRPr="0006081F">
        <w:rPr>
          <w:rFonts w:ascii="Arial" w:hAnsi="Arial" w:cs="Arial"/>
          <w:sz w:val="24"/>
          <w:szCs w:val="24"/>
        </w:rPr>
        <w:t xml:space="preserve">.  </w:t>
      </w:r>
      <w:r>
        <w:rPr>
          <w:rFonts w:ascii="Arial" w:hAnsi="Arial" w:cs="Arial"/>
          <w:sz w:val="24"/>
          <w:szCs w:val="24"/>
        </w:rPr>
        <w:t>La presente investigación tiene como objetivo evaluar</w:t>
      </w:r>
      <w:r w:rsidRPr="00A47AEC">
        <w:rPr>
          <w:rFonts w:ascii="Arial" w:hAnsi="Arial" w:cs="Arial"/>
          <w:sz w:val="24"/>
          <w:szCs w:val="24"/>
        </w:rPr>
        <w:t xml:space="preserve"> </w:t>
      </w:r>
      <w:r w:rsidRPr="000308D0">
        <w:rPr>
          <w:rFonts w:ascii="Arial" w:hAnsi="Arial" w:cs="Arial"/>
          <w:sz w:val="24"/>
          <w:szCs w:val="24"/>
        </w:rPr>
        <w:t>la presencia  de Ocratoxina A en café producido en el Estado de Nayarit, México.</w:t>
      </w:r>
      <w:r w:rsidR="00AF13FF">
        <w:rPr>
          <w:rFonts w:ascii="Arial" w:hAnsi="Arial" w:cs="Arial"/>
          <w:sz w:val="24"/>
          <w:szCs w:val="24"/>
        </w:rPr>
        <w:t xml:space="preserve"> Se analizó un total de 18</w:t>
      </w:r>
      <w:r>
        <w:rPr>
          <w:rFonts w:ascii="Arial" w:hAnsi="Arial" w:cs="Arial"/>
          <w:sz w:val="24"/>
          <w:szCs w:val="24"/>
        </w:rPr>
        <w:t xml:space="preserve"> muestras de</w:t>
      </w:r>
      <w:r w:rsidR="00AF13FF">
        <w:rPr>
          <w:rFonts w:ascii="Arial" w:hAnsi="Arial" w:cs="Arial"/>
          <w:sz w:val="24"/>
          <w:szCs w:val="24"/>
        </w:rPr>
        <w:t xml:space="preserve"> 6</w:t>
      </w:r>
      <w:r w:rsidRPr="0006081F">
        <w:rPr>
          <w:rFonts w:ascii="Arial" w:hAnsi="Arial" w:cs="Arial"/>
          <w:sz w:val="24"/>
          <w:szCs w:val="24"/>
        </w:rPr>
        <w:t xml:space="preserve"> diferentes productores de café tostado </w:t>
      </w:r>
      <w:r>
        <w:rPr>
          <w:rFonts w:ascii="Arial" w:hAnsi="Arial" w:cs="Arial"/>
          <w:sz w:val="24"/>
          <w:szCs w:val="24"/>
        </w:rPr>
        <w:t xml:space="preserve">y molido </w:t>
      </w:r>
      <w:r w:rsidRPr="0006081F">
        <w:rPr>
          <w:rFonts w:ascii="Arial" w:hAnsi="Arial" w:cs="Arial"/>
          <w:sz w:val="24"/>
          <w:szCs w:val="24"/>
        </w:rPr>
        <w:t>e</w:t>
      </w:r>
      <w:r>
        <w:rPr>
          <w:rFonts w:ascii="Arial" w:hAnsi="Arial" w:cs="Arial"/>
          <w:sz w:val="24"/>
          <w:szCs w:val="24"/>
        </w:rPr>
        <w:t>n el estado. Las cuantificación de Ocratoxina A (OTA), se llevó a cabo mediante el método de inmunoafinidad ELISA. Los valores de micotoxinas están dentro de un rango</w:t>
      </w:r>
      <w:r w:rsidR="00013633">
        <w:rPr>
          <w:rFonts w:ascii="Arial" w:hAnsi="Arial" w:cs="Arial"/>
          <w:sz w:val="24"/>
          <w:szCs w:val="24"/>
        </w:rPr>
        <w:t xml:space="preserve"> de</w:t>
      </w:r>
      <w:r w:rsidR="00AF13FF">
        <w:rPr>
          <w:rFonts w:ascii="Arial" w:hAnsi="Arial" w:cs="Arial"/>
          <w:sz w:val="24"/>
          <w:szCs w:val="24"/>
        </w:rPr>
        <w:t xml:space="preserve"> </w:t>
      </w:r>
      <w:r w:rsidR="00AF13FF">
        <w:rPr>
          <w:rFonts w:ascii="Arial" w:hAnsi="Arial" w:cs="Arial"/>
          <w:sz w:val="24"/>
          <w:szCs w:val="24"/>
        </w:rPr>
        <w:t>15.51 µg/Kg a 351.28 µg/Kg</w:t>
      </w:r>
      <w:r>
        <w:rPr>
          <w:rFonts w:ascii="Arial" w:hAnsi="Arial" w:cs="Arial"/>
          <w:sz w:val="24"/>
          <w:szCs w:val="24"/>
        </w:rPr>
        <w:t xml:space="preserve">. El 100% de las muestras están por arriba de los límites permisibles de OTA en café tostado y molido que es de 5 µg/Kg. </w:t>
      </w:r>
      <w:r w:rsidR="00013633">
        <w:rPr>
          <w:rFonts w:ascii="Arial" w:hAnsi="Arial" w:cs="Arial"/>
          <w:sz w:val="24"/>
          <w:szCs w:val="24"/>
        </w:rPr>
        <w:t xml:space="preserve">Por lo que </w:t>
      </w:r>
      <w:r>
        <w:rPr>
          <w:rFonts w:ascii="Arial" w:hAnsi="Arial" w:cs="Arial"/>
          <w:sz w:val="24"/>
          <w:szCs w:val="24"/>
        </w:rPr>
        <w:t>es necesario implementar prácticas para prevenir y reducir las concentraciones de OTA para evitar efectos perjudiciales por el consumo de alimentos contaminados.</w:t>
      </w:r>
    </w:p>
    <w:p w:rsidR="002C3F1F" w:rsidRPr="001D5C81" w:rsidRDefault="002C3F1F" w:rsidP="001D5C81">
      <w:pPr>
        <w:pStyle w:val="Prrafodelista"/>
        <w:numPr>
          <w:ilvl w:val="0"/>
          <w:numId w:val="3"/>
        </w:numPr>
        <w:spacing w:line="360" w:lineRule="auto"/>
        <w:rPr>
          <w:rFonts w:ascii="Arial" w:hAnsi="Arial" w:cs="Arial"/>
          <w:b/>
          <w:sz w:val="24"/>
          <w:szCs w:val="24"/>
        </w:rPr>
      </w:pPr>
      <w:r w:rsidRPr="001D5C81">
        <w:rPr>
          <w:rFonts w:ascii="Arial" w:hAnsi="Arial" w:cs="Arial"/>
          <w:b/>
          <w:sz w:val="24"/>
          <w:szCs w:val="24"/>
        </w:rPr>
        <w:t>INTRODUCCIÓN</w:t>
      </w:r>
      <w:r w:rsidR="001D5C81">
        <w:rPr>
          <w:rFonts w:ascii="Arial" w:hAnsi="Arial" w:cs="Arial"/>
          <w:b/>
          <w:sz w:val="24"/>
          <w:szCs w:val="24"/>
        </w:rPr>
        <w:t>.</w:t>
      </w:r>
      <w:r w:rsidRPr="001D5C81">
        <w:rPr>
          <w:rFonts w:ascii="Arial" w:hAnsi="Arial" w:cs="Arial"/>
          <w:b/>
          <w:sz w:val="24"/>
          <w:szCs w:val="24"/>
        </w:rPr>
        <w:t xml:space="preserve"> </w:t>
      </w:r>
    </w:p>
    <w:p w:rsidR="002C3F1F" w:rsidRPr="001D5C81" w:rsidRDefault="002C3F1F" w:rsidP="001D5C81">
      <w:pPr>
        <w:pStyle w:val="Prrafodelista"/>
        <w:numPr>
          <w:ilvl w:val="1"/>
          <w:numId w:val="3"/>
        </w:numPr>
        <w:spacing w:line="360" w:lineRule="auto"/>
        <w:jc w:val="both"/>
        <w:rPr>
          <w:rFonts w:ascii="Arial" w:hAnsi="Arial" w:cs="Arial"/>
          <w:sz w:val="24"/>
          <w:szCs w:val="24"/>
        </w:rPr>
      </w:pPr>
      <w:r w:rsidRPr="001D5C81">
        <w:rPr>
          <w:rFonts w:ascii="Arial" w:hAnsi="Arial" w:cs="Arial"/>
          <w:sz w:val="24"/>
          <w:szCs w:val="24"/>
        </w:rPr>
        <w:t xml:space="preserve">Contaminación por micotoxinas. </w:t>
      </w:r>
    </w:p>
    <w:p w:rsidR="00C12BE0" w:rsidRPr="0006081F" w:rsidRDefault="002C3F1F" w:rsidP="002C3F1F">
      <w:pPr>
        <w:spacing w:line="360" w:lineRule="auto"/>
        <w:jc w:val="both"/>
        <w:rPr>
          <w:rFonts w:ascii="Arial" w:hAnsi="Arial" w:cs="Arial"/>
          <w:sz w:val="24"/>
          <w:szCs w:val="24"/>
        </w:rPr>
      </w:pPr>
      <w:r w:rsidRPr="0006081F">
        <w:rPr>
          <w:rFonts w:ascii="Arial" w:hAnsi="Arial" w:cs="Arial"/>
          <w:sz w:val="24"/>
          <w:szCs w:val="24"/>
        </w:rPr>
        <w:t>La contaminación biológica de los alimentos se origina por la falta de higiene en algún punto de la elab</w:t>
      </w:r>
      <w:r w:rsidR="00C12BE0">
        <w:rPr>
          <w:rFonts w:ascii="Arial" w:hAnsi="Arial" w:cs="Arial"/>
          <w:sz w:val="24"/>
          <w:szCs w:val="24"/>
        </w:rPr>
        <w:t>oración o almacenamiento</w:t>
      </w:r>
      <w:r w:rsidRPr="0006081F">
        <w:rPr>
          <w:rFonts w:ascii="Arial" w:hAnsi="Arial" w:cs="Arial"/>
          <w:sz w:val="24"/>
          <w:szCs w:val="24"/>
        </w:rPr>
        <w:fldChar w:fldCharType="begin"/>
      </w:r>
      <w:r w:rsidRPr="0006081F">
        <w:rPr>
          <w:rFonts w:ascii="Arial" w:hAnsi="Arial" w:cs="Arial"/>
          <w:sz w:val="24"/>
          <w:szCs w:val="24"/>
        </w:rPr>
        <w:instrText xml:space="preserve">CITATION Ana12 \l 2058 </w:instrText>
      </w:r>
      <w:r w:rsidRPr="0006081F">
        <w:rPr>
          <w:rFonts w:ascii="Arial" w:hAnsi="Arial" w:cs="Arial"/>
          <w:sz w:val="24"/>
          <w:szCs w:val="24"/>
        </w:rPr>
        <w:fldChar w:fldCharType="separate"/>
      </w:r>
      <w:r>
        <w:rPr>
          <w:rFonts w:ascii="Arial" w:hAnsi="Arial" w:cs="Arial"/>
          <w:noProof/>
          <w:sz w:val="24"/>
          <w:szCs w:val="24"/>
        </w:rPr>
        <w:t xml:space="preserve"> </w:t>
      </w:r>
      <w:r w:rsidRPr="00747588">
        <w:rPr>
          <w:rFonts w:ascii="Arial" w:hAnsi="Arial" w:cs="Arial"/>
          <w:noProof/>
          <w:sz w:val="24"/>
          <w:szCs w:val="24"/>
        </w:rPr>
        <w:t>(Camean &amp; Jiménez, 2012)</w:t>
      </w:r>
      <w:r w:rsidRPr="0006081F">
        <w:rPr>
          <w:rFonts w:ascii="Arial" w:hAnsi="Arial" w:cs="Arial"/>
          <w:sz w:val="24"/>
          <w:szCs w:val="24"/>
        </w:rPr>
        <w:fldChar w:fldCharType="end"/>
      </w:r>
      <w:r w:rsidRPr="0006081F">
        <w:rPr>
          <w:rFonts w:ascii="Arial" w:hAnsi="Arial" w:cs="Arial"/>
          <w:sz w:val="24"/>
          <w:szCs w:val="24"/>
        </w:rPr>
        <w:t xml:space="preserve">. Un tipo de contaminante biológico importante son las micotoxinas, las cuales son metabolitos fúngicos secundarios de bajo peso molecular, producidos por mohos </w:t>
      </w:r>
      <w:r w:rsidRPr="0006081F">
        <w:rPr>
          <w:rFonts w:ascii="Arial" w:hAnsi="Arial" w:cs="Arial"/>
          <w:sz w:val="24"/>
          <w:szCs w:val="24"/>
        </w:rPr>
        <w:lastRenderedPageBreak/>
        <w:t xml:space="preserve">filamentosos cuya ingestión, inhalación o absorción  cutánea puede llegar a producir diferentes enfermedades, incluso a causar la muerte, a personas y animales  y pérdidas económicas </w:t>
      </w:r>
      <w:r w:rsidRPr="0006081F">
        <w:rPr>
          <w:rFonts w:ascii="Arial" w:hAnsi="Arial" w:cs="Arial"/>
          <w:sz w:val="24"/>
          <w:szCs w:val="24"/>
        </w:rPr>
        <w:fldChar w:fldCharType="begin"/>
      </w:r>
      <w:r w:rsidRPr="0006081F">
        <w:rPr>
          <w:rFonts w:ascii="Arial" w:hAnsi="Arial" w:cs="Arial"/>
          <w:sz w:val="24"/>
          <w:szCs w:val="24"/>
        </w:rPr>
        <w:instrText xml:space="preserve"> CITATION Ant11 \l 2058 </w:instrText>
      </w:r>
      <w:r w:rsidRPr="0006081F">
        <w:rPr>
          <w:rFonts w:ascii="Arial" w:hAnsi="Arial" w:cs="Arial"/>
          <w:sz w:val="24"/>
          <w:szCs w:val="24"/>
        </w:rPr>
        <w:fldChar w:fldCharType="separate"/>
      </w:r>
      <w:r w:rsidRPr="00747588">
        <w:rPr>
          <w:rFonts w:ascii="Arial" w:hAnsi="Arial" w:cs="Arial"/>
          <w:noProof/>
          <w:sz w:val="24"/>
          <w:szCs w:val="24"/>
        </w:rPr>
        <w:t>(Ramos., 2011)</w:t>
      </w:r>
      <w:r w:rsidRPr="0006081F">
        <w:rPr>
          <w:rFonts w:ascii="Arial" w:hAnsi="Arial" w:cs="Arial"/>
          <w:sz w:val="24"/>
          <w:szCs w:val="24"/>
        </w:rPr>
        <w:fldChar w:fldCharType="end"/>
      </w:r>
      <w:r w:rsidRPr="0006081F">
        <w:rPr>
          <w:rFonts w:ascii="Arial" w:hAnsi="Arial" w:cs="Arial"/>
          <w:sz w:val="24"/>
          <w:szCs w:val="24"/>
        </w:rPr>
        <w:t xml:space="preserve">. </w:t>
      </w:r>
    </w:p>
    <w:p w:rsidR="002C3F1F" w:rsidRPr="001D5C81" w:rsidRDefault="002C3F1F" w:rsidP="001D5C81">
      <w:pPr>
        <w:pStyle w:val="Prrafodelista"/>
        <w:numPr>
          <w:ilvl w:val="1"/>
          <w:numId w:val="3"/>
        </w:numPr>
        <w:spacing w:line="360" w:lineRule="auto"/>
        <w:jc w:val="both"/>
        <w:rPr>
          <w:rFonts w:ascii="Arial" w:hAnsi="Arial" w:cs="Arial"/>
          <w:sz w:val="24"/>
          <w:szCs w:val="24"/>
        </w:rPr>
      </w:pPr>
      <w:r w:rsidRPr="001D5C81">
        <w:rPr>
          <w:rFonts w:ascii="Arial" w:hAnsi="Arial" w:cs="Arial"/>
          <w:sz w:val="24"/>
          <w:szCs w:val="24"/>
        </w:rPr>
        <w:t>Ocratoxina A</w:t>
      </w:r>
      <w:r w:rsidR="001D5C81">
        <w:rPr>
          <w:rFonts w:ascii="Arial" w:hAnsi="Arial" w:cs="Arial"/>
          <w:sz w:val="24"/>
          <w:szCs w:val="24"/>
        </w:rPr>
        <w:t>.</w:t>
      </w:r>
    </w:p>
    <w:p w:rsidR="002C3F1F" w:rsidRPr="00A47AEC" w:rsidRDefault="002C3F1F" w:rsidP="002C3F1F">
      <w:pPr>
        <w:spacing w:line="360" w:lineRule="auto"/>
        <w:jc w:val="both"/>
        <w:rPr>
          <w:rFonts w:ascii="Arial" w:hAnsi="Arial" w:cs="Arial"/>
          <w:sz w:val="24"/>
          <w:szCs w:val="24"/>
          <w:shd w:val="clear" w:color="auto" w:fill="FFFFFF"/>
        </w:rPr>
      </w:pPr>
      <w:r w:rsidRPr="0006081F">
        <w:rPr>
          <w:rFonts w:ascii="Arial" w:hAnsi="Arial" w:cs="Arial"/>
          <w:sz w:val="24"/>
          <w:szCs w:val="24"/>
          <w:shd w:val="clear" w:color="auto" w:fill="FFFFFF"/>
        </w:rPr>
        <w:t xml:space="preserve">La Ocratoxina A (OTA) </w:t>
      </w:r>
      <w:r w:rsidRPr="0006081F">
        <w:rPr>
          <w:rFonts w:ascii="Arial" w:hAnsi="Arial" w:cs="Arial"/>
          <w:sz w:val="24"/>
          <w:szCs w:val="24"/>
        </w:rPr>
        <w:t>es un metabolito fúngico</w:t>
      </w:r>
      <w:r w:rsidRPr="0006081F">
        <w:rPr>
          <w:rFonts w:ascii="Arial" w:hAnsi="Arial" w:cs="Arial"/>
          <w:sz w:val="24"/>
          <w:szCs w:val="24"/>
          <w:shd w:val="clear" w:color="auto" w:fill="FFFFFF"/>
        </w:rPr>
        <w:t xml:space="preserve"> producido por  los hongos del género </w:t>
      </w:r>
      <w:r w:rsidRPr="0006081F">
        <w:rPr>
          <w:rFonts w:ascii="Arial" w:hAnsi="Arial" w:cs="Arial"/>
          <w:i/>
          <w:sz w:val="24"/>
          <w:szCs w:val="24"/>
          <w:shd w:val="clear" w:color="auto" w:fill="FFFFFF"/>
        </w:rPr>
        <w:t>Aspergillus</w:t>
      </w:r>
      <w:r w:rsidRPr="0006081F">
        <w:rPr>
          <w:rFonts w:ascii="Arial" w:hAnsi="Arial" w:cs="Arial"/>
          <w:sz w:val="24"/>
          <w:szCs w:val="24"/>
          <w:shd w:val="clear" w:color="auto" w:fill="FFFFFF"/>
        </w:rPr>
        <w:t xml:space="preserve"> y </w:t>
      </w:r>
      <w:r w:rsidRPr="0006081F">
        <w:rPr>
          <w:rFonts w:ascii="Arial" w:hAnsi="Arial" w:cs="Arial"/>
          <w:i/>
          <w:sz w:val="24"/>
          <w:szCs w:val="24"/>
          <w:shd w:val="clear" w:color="auto" w:fill="FFFFFF"/>
        </w:rPr>
        <w:t>Penicillium</w:t>
      </w:r>
      <w:r w:rsidRPr="0006081F">
        <w:rPr>
          <w:rFonts w:ascii="Arial" w:hAnsi="Arial" w:cs="Arial"/>
          <w:sz w:val="24"/>
          <w:szCs w:val="24"/>
          <w:shd w:val="clear" w:color="auto" w:fill="FFFFFF"/>
        </w:rPr>
        <w:t xml:space="preserve">. Las especies principales implicados en la producción de OTA incluye </w:t>
      </w:r>
      <w:r w:rsidRPr="0006081F">
        <w:rPr>
          <w:rFonts w:ascii="Arial" w:hAnsi="Arial" w:cs="Arial"/>
          <w:i/>
          <w:sz w:val="24"/>
          <w:szCs w:val="24"/>
          <w:shd w:val="clear" w:color="auto" w:fill="FFFFFF"/>
        </w:rPr>
        <w:t xml:space="preserve">Aspergillus </w:t>
      </w:r>
      <w:proofErr w:type="spellStart"/>
      <w:r w:rsidRPr="0006081F">
        <w:rPr>
          <w:rFonts w:ascii="Arial" w:hAnsi="Arial" w:cs="Arial"/>
          <w:i/>
          <w:sz w:val="24"/>
          <w:szCs w:val="24"/>
          <w:shd w:val="clear" w:color="auto" w:fill="FFFFFF"/>
        </w:rPr>
        <w:t>ochraceus</w:t>
      </w:r>
      <w:proofErr w:type="spellEnd"/>
      <w:r w:rsidRPr="0006081F">
        <w:rPr>
          <w:rFonts w:ascii="Arial" w:hAnsi="Arial" w:cs="Arial"/>
          <w:i/>
          <w:sz w:val="24"/>
          <w:szCs w:val="24"/>
          <w:shd w:val="clear" w:color="auto" w:fill="FFFFFF"/>
        </w:rPr>
        <w:t xml:space="preserve">, Aspergillus </w:t>
      </w:r>
      <w:proofErr w:type="spellStart"/>
      <w:r w:rsidRPr="0006081F">
        <w:rPr>
          <w:rFonts w:ascii="Arial" w:hAnsi="Arial" w:cs="Arial"/>
          <w:i/>
          <w:sz w:val="24"/>
          <w:szCs w:val="24"/>
          <w:shd w:val="clear" w:color="auto" w:fill="FFFFFF"/>
        </w:rPr>
        <w:t>carbonarius</w:t>
      </w:r>
      <w:proofErr w:type="spellEnd"/>
      <w:r w:rsidRPr="0006081F">
        <w:rPr>
          <w:rFonts w:ascii="Arial" w:hAnsi="Arial" w:cs="Arial"/>
          <w:i/>
          <w:sz w:val="24"/>
          <w:szCs w:val="24"/>
          <w:shd w:val="clear" w:color="auto" w:fill="FFFFFF"/>
        </w:rPr>
        <w:t xml:space="preserve">,  Aspergillus </w:t>
      </w:r>
      <w:proofErr w:type="spellStart"/>
      <w:r w:rsidRPr="0006081F">
        <w:rPr>
          <w:rFonts w:ascii="Arial" w:hAnsi="Arial" w:cs="Arial"/>
          <w:i/>
          <w:sz w:val="24"/>
          <w:szCs w:val="24"/>
          <w:shd w:val="clear" w:color="auto" w:fill="FFFFFF"/>
        </w:rPr>
        <w:t>melleus</w:t>
      </w:r>
      <w:proofErr w:type="spellEnd"/>
      <w:r w:rsidRPr="0006081F">
        <w:rPr>
          <w:rFonts w:ascii="Arial" w:hAnsi="Arial" w:cs="Arial"/>
          <w:i/>
          <w:sz w:val="24"/>
          <w:szCs w:val="24"/>
          <w:shd w:val="clear" w:color="auto" w:fill="FFFFFF"/>
        </w:rPr>
        <w:t xml:space="preserve">,  Aspergillus </w:t>
      </w:r>
      <w:proofErr w:type="spellStart"/>
      <w:r w:rsidRPr="0006081F">
        <w:rPr>
          <w:rFonts w:ascii="Arial" w:hAnsi="Arial" w:cs="Arial"/>
          <w:i/>
          <w:sz w:val="24"/>
          <w:szCs w:val="24"/>
          <w:shd w:val="clear" w:color="auto" w:fill="FFFFFF"/>
        </w:rPr>
        <w:t>sclerotiorum</w:t>
      </w:r>
      <w:proofErr w:type="spellEnd"/>
      <w:r w:rsidRPr="0006081F">
        <w:rPr>
          <w:rFonts w:ascii="Arial" w:hAnsi="Arial" w:cs="Arial"/>
          <w:i/>
          <w:sz w:val="24"/>
          <w:szCs w:val="24"/>
          <w:shd w:val="clear" w:color="auto" w:fill="FFFFFF"/>
        </w:rPr>
        <w:t xml:space="preserve">,  Aspergillus </w:t>
      </w:r>
      <w:proofErr w:type="spellStart"/>
      <w:r w:rsidRPr="0006081F">
        <w:rPr>
          <w:rFonts w:ascii="Arial" w:hAnsi="Arial" w:cs="Arial"/>
          <w:i/>
          <w:sz w:val="24"/>
          <w:szCs w:val="24"/>
          <w:shd w:val="clear" w:color="auto" w:fill="FFFFFF"/>
        </w:rPr>
        <w:t>sulphureus</w:t>
      </w:r>
      <w:proofErr w:type="spellEnd"/>
      <w:r w:rsidRPr="0006081F">
        <w:rPr>
          <w:rFonts w:ascii="Arial" w:hAnsi="Arial" w:cs="Arial"/>
          <w:i/>
          <w:sz w:val="24"/>
          <w:szCs w:val="24"/>
          <w:shd w:val="clear" w:color="auto" w:fill="FFFFFF"/>
        </w:rPr>
        <w:t xml:space="preserve">, </w:t>
      </w:r>
      <w:proofErr w:type="spellStart"/>
      <w:r w:rsidRPr="0006081F">
        <w:rPr>
          <w:rFonts w:ascii="Arial" w:hAnsi="Arial" w:cs="Arial"/>
          <w:i/>
          <w:sz w:val="24"/>
          <w:szCs w:val="24"/>
          <w:shd w:val="clear" w:color="auto" w:fill="FFFFFF"/>
        </w:rPr>
        <w:t>Pichia</w:t>
      </w:r>
      <w:proofErr w:type="spellEnd"/>
      <w:r w:rsidRPr="0006081F">
        <w:rPr>
          <w:rFonts w:ascii="Arial" w:hAnsi="Arial" w:cs="Arial"/>
          <w:i/>
          <w:sz w:val="24"/>
          <w:szCs w:val="24"/>
          <w:shd w:val="clear" w:color="auto" w:fill="FFFFFF"/>
        </w:rPr>
        <w:t xml:space="preserve"> </w:t>
      </w:r>
      <w:proofErr w:type="spellStart"/>
      <w:r w:rsidRPr="0006081F">
        <w:rPr>
          <w:rFonts w:ascii="Arial" w:hAnsi="Arial" w:cs="Arial"/>
          <w:i/>
          <w:sz w:val="24"/>
          <w:szCs w:val="24"/>
          <w:shd w:val="clear" w:color="auto" w:fill="FFFFFF"/>
        </w:rPr>
        <w:t>verrucossum</w:t>
      </w:r>
      <w:proofErr w:type="spellEnd"/>
      <w:r w:rsidRPr="0006081F">
        <w:rPr>
          <w:rFonts w:ascii="Arial" w:hAnsi="Arial" w:cs="Arial"/>
          <w:i/>
          <w:sz w:val="24"/>
          <w:szCs w:val="24"/>
          <w:shd w:val="clear" w:color="auto" w:fill="FFFFFF"/>
        </w:rPr>
        <w:t xml:space="preserve"> </w:t>
      </w:r>
      <w:r w:rsidRPr="0006081F">
        <w:rPr>
          <w:rFonts w:ascii="Arial" w:hAnsi="Arial" w:cs="Arial"/>
          <w:sz w:val="24"/>
          <w:szCs w:val="24"/>
          <w:shd w:val="clear" w:color="auto" w:fill="FFFFFF"/>
        </w:rPr>
        <w:t>(</w:t>
      </w:r>
      <w:proofErr w:type="spellStart"/>
      <w:r w:rsidRPr="0006081F">
        <w:rPr>
          <w:rFonts w:ascii="Arial" w:hAnsi="Arial" w:cs="Arial"/>
          <w:sz w:val="24"/>
          <w:szCs w:val="24"/>
          <w:shd w:val="clear" w:color="auto" w:fill="FFFFFF"/>
        </w:rPr>
        <w:t>Zain</w:t>
      </w:r>
      <w:proofErr w:type="spellEnd"/>
      <w:r w:rsidRPr="0006081F">
        <w:rPr>
          <w:rFonts w:ascii="Arial" w:hAnsi="Arial" w:cs="Arial"/>
          <w:sz w:val="24"/>
          <w:szCs w:val="24"/>
          <w:shd w:val="clear" w:color="auto" w:fill="FFFFFF"/>
        </w:rPr>
        <w:t>, 2011</w:t>
      </w:r>
      <w:r>
        <w:rPr>
          <w:rFonts w:ascii="Arial" w:hAnsi="Arial" w:cs="Arial"/>
          <w:sz w:val="24"/>
          <w:szCs w:val="24"/>
          <w:shd w:val="clear" w:color="auto" w:fill="FFFFFF"/>
        </w:rPr>
        <w:t xml:space="preserve">).  </w:t>
      </w:r>
      <w:r>
        <w:rPr>
          <w:rFonts w:ascii="Arial" w:hAnsi="Arial" w:cs="Arial"/>
          <w:sz w:val="24"/>
          <w:szCs w:val="24"/>
        </w:rPr>
        <w:t>La estructura química de la OTA consiste en</w:t>
      </w:r>
      <w:r w:rsidRPr="0006081F">
        <w:rPr>
          <w:rFonts w:ascii="Arial" w:hAnsi="Arial" w:cs="Arial"/>
          <w:sz w:val="24"/>
          <w:szCs w:val="24"/>
        </w:rPr>
        <w:t xml:space="preserve"> un derivado de fenilalanina-</w:t>
      </w:r>
      <w:proofErr w:type="spellStart"/>
      <w:r w:rsidRPr="0006081F">
        <w:rPr>
          <w:rFonts w:ascii="Arial" w:hAnsi="Arial" w:cs="Arial"/>
          <w:sz w:val="24"/>
          <w:szCs w:val="24"/>
        </w:rPr>
        <w:t>dihidroisocumarina</w:t>
      </w:r>
      <w:proofErr w:type="spellEnd"/>
      <w:r w:rsidRPr="0006081F">
        <w:rPr>
          <w:rFonts w:ascii="Arial" w:hAnsi="Arial" w:cs="Arial"/>
          <w:sz w:val="24"/>
          <w:szCs w:val="24"/>
        </w:rPr>
        <w:t>, compuesto de una 7-carboxi-5-cloro-8-hidroxi-3,4-dihidro-3-R-methylisocoumarina (ocratoxina α - resto OTα)  y una molécula de L-β-fenilalanina (</w:t>
      </w:r>
      <w:proofErr w:type="spellStart"/>
      <w:r w:rsidRPr="0006081F">
        <w:rPr>
          <w:rFonts w:ascii="Arial" w:hAnsi="Arial" w:cs="Arial"/>
          <w:sz w:val="24"/>
          <w:szCs w:val="24"/>
        </w:rPr>
        <w:t>Phe</w:t>
      </w:r>
      <w:proofErr w:type="spellEnd"/>
      <w:r w:rsidRPr="0006081F">
        <w:rPr>
          <w:rFonts w:ascii="Arial" w:hAnsi="Arial" w:cs="Arial"/>
          <w:sz w:val="24"/>
          <w:szCs w:val="24"/>
        </w:rPr>
        <w:t>), que están vinculados a través del grupo 7-carboxi mediante un enlace amida</w:t>
      </w:r>
      <w:r w:rsidRPr="0006081F">
        <w:rPr>
          <w:rFonts w:ascii="Arial" w:hAnsi="Arial" w:cs="Arial"/>
          <w:sz w:val="24"/>
          <w:szCs w:val="24"/>
        </w:rPr>
        <w:fldChar w:fldCharType="begin"/>
      </w:r>
      <w:r w:rsidRPr="0006081F">
        <w:rPr>
          <w:rFonts w:ascii="Arial" w:hAnsi="Arial" w:cs="Arial"/>
          <w:sz w:val="24"/>
          <w:szCs w:val="24"/>
        </w:rPr>
        <w:instrText xml:space="preserve"> CITATION Van16 \l 2058 </w:instrText>
      </w:r>
      <w:r w:rsidRPr="0006081F">
        <w:rPr>
          <w:rFonts w:ascii="Arial" w:hAnsi="Arial" w:cs="Arial"/>
          <w:sz w:val="24"/>
          <w:szCs w:val="24"/>
        </w:rPr>
        <w:fldChar w:fldCharType="separate"/>
      </w:r>
      <w:r>
        <w:rPr>
          <w:rFonts w:ascii="Arial" w:hAnsi="Arial" w:cs="Arial"/>
          <w:noProof/>
          <w:sz w:val="24"/>
          <w:szCs w:val="24"/>
        </w:rPr>
        <w:t xml:space="preserve"> </w:t>
      </w:r>
      <w:r w:rsidRPr="00747588">
        <w:rPr>
          <w:rFonts w:ascii="Arial" w:hAnsi="Arial" w:cs="Arial"/>
          <w:noProof/>
          <w:sz w:val="24"/>
          <w:szCs w:val="24"/>
        </w:rPr>
        <w:t>(Liuzzi &amp; al., 2016)</w:t>
      </w:r>
      <w:r w:rsidRPr="0006081F">
        <w:rPr>
          <w:rFonts w:ascii="Arial" w:hAnsi="Arial" w:cs="Arial"/>
          <w:sz w:val="24"/>
          <w:szCs w:val="24"/>
        </w:rPr>
        <w:fldChar w:fldCharType="end"/>
      </w:r>
      <w:r w:rsidRPr="0006081F">
        <w:rPr>
          <w:rFonts w:ascii="Arial" w:hAnsi="Arial" w:cs="Arial"/>
          <w:sz w:val="24"/>
          <w:szCs w:val="24"/>
        </w:rPr>
        <w:t>. Es un compuesto estable que no es destruido por procedimientos comunes en la preparación de alimentos, se requiere temperaturas mayores a 250°C por varios minutos</w:t>
      </w:r>
      <w:r w:rsidRPr="0006081F">
        <w:rPr>
          <w:rFonts w:ascii="Arial" w:hAnsi="Arial" w:cs="Arial"/>
          <w:sz w:val="24"/>
          <w:szCs w:val="24"/>
        </w:rPr>
        <w:fldChar w:fldCharType="begin"/>
      </w:r>
      <w:r w:rsidRPr="0006081F">
        <w:rPr>
          <w:rFonts w:ascii="Arial" w:hAnsi="Arial" w:cs="Arial"/>
          <w:sz w:val="24"/>
          <w:szCs w:val="24"/>
        </w:rPr>
        <w:instrText xml:space="preserve"> CITATION Ant11 \l 2058 </w:instrText>
      </w:r>
      <w:r w:rsidRPr="0006081F">
        <w:rPr>
          <w:rFonts w:ascii="Arial" w:hAnsi="Arial" w:cs="Arial"/>
          <w:sz w:val="24"/>
          <w:szCs w:val="24"/>
        </w:rPr>
        <w:fldChar w:fldCharType="separate"/>
      </w:r>
      <w:r>
        <w:rPr>
          <w:rFonts w:ascii="Arial" w:hAnsi="Arial" w:cs="Arial"/>
          <w:noProof/>
          <w:sz w:val="24"/>
          <w:szCs w:val="24"/>
        </w:rPr>
        <w:t xml:space="preserve"> </w:t>
      </w:r>
      <w:r w:rsidRPr="00747588">
        <w:rPr>
          <w:rFonts w:ascii="Arial" w:hAnsi="Arial" w:cs="Arial"/>
          <w:noProof/>
          <w:sz w:val="24"/>
          <w:szCs w:val="24"/>
        </w:rPr>
        <w:t>(Ramos., 2011)</w:t>
      </w:r>
      <w:r w:rsidRPr="0006081F">
        <w:rPr>
          <w:rFonts w:ascii="Arial" w:hAnsi="Arial" w:cs="Arial"/>
          <w:sz w:val="24"/>
          <w:szCs w:val="24"/>
        </w:rPr>
        <w:fldChar w:fldCharType="end"/>
      </w:r>
      <w:r>
        <w:rPr>
          <w:rFonts w:ascii="Arial" w:hAnsi="Arial" w:cs="Arial"/>
          <w:sz w:val="24"/>
          <w:szCs w:val="24"/>
        </w:rPr>
        <w:t xml:space="preserve">. </w:t>
      </w:r>
    </w:p>
    <w:p w:rsidR="002C3F1F" w:rsidRPr="001D5C81" w:rsidRDefault="002C3F1F" w:rsidP="001D5C81">
      <w:pPr>
        <w:pStyle w:val="Prrafodelista"/>
        <w:numPr>
          <w:ilvl w:val="1"/>
          <w:numId w:val="3"/>
        </w:numPr>
        <w:spacing w:line="360" w:lineRule="auto"/>
        <w:jc w:val="both"/>
        <w:rPr>
          <w:rFonts w:ascii="Arial" w:hAnsi="Arial" w:cs="Arial"/>
          <w:sz w:val="24"/>
          <w:szCs w:val="24"/>
        </w:rPr>
      </w:pPr>
      <w:r w:rsidRPr="001D5C81">
        <w:rPr>
          <w:rFonts w:ascii="Arial" w:hAnsi="Arial" w:cs="Arial"/>
          <w:sz w:val="24"/>
          <w:szCs w:val="24"/>
        </w:rPr>
        <w:t xml:space="preserve">Metabolismo de la </w:t>
      </w:r>
      <w:r w:rsidR="001D5C81" w:rsidRPr="001D5C81">
        <w:rPr>
          <w:rFonts w:ascii="Arial" w:hAnsi="Arial" w:cs="Arial"/>
          <w:sz w:val="24"/>
          <w:szCs w:val="24"/>
        </w:rPr>
        <w:t>O</w:t>
      </w:r>
      <w:r w:rsidRPr="001D5C81">
        <w:rPr>
          <w:rFonts w:ascii="Arial" w:hAnsi="Arial" w:cs="Arial"/>
          <w:sz w:val="24"/>
          <w:szCs w:val="24"/>
        </w:rPr>
        <w:t>cr</w:t>
      </w:r>
      <w:r w:rsidR="001D5C81">
        <w:rPr>
          <w:rFonts w:ascii="Arial" w:hAnsi="Arial" w:cs="Arial"/>
          <w:sz w:val="24"/>
          <w:szCs w:val="24"/>
        </w:rPr>
        <w:t>atoxina A y sus efectos tóxicos.</w:t>
      </w:r>
    </w:p>
    <w:p w:rsidR="00C12BE0" w:rsidRDefault="002C3F1F" w:rsidP="002C3F1F">
      <w:pPr>
        <w:spacing w:line="360" w:lineRule="auto"/>
        <w:jc w:val="both"/>
        <w:rPr>
          <w:rFonts w:ascii="Arial" w:hAnsi="Arial" w:cs="Arial"/>
          <w:sz w:val="24"/>
          <w:szCs w:val="24"/>
          <w:shd w:val="clear" w:color="auto" w:fill="FFFFFF"/>
        </w:rPr>
      </w:pPr>
      <w:r w:rsidRPr="0006081F">
        <w:rPr>
          <w:rFonts w:ascii="Arial" w:hAnsi="Arial" w:cs="Arial"/>
          <w:sz w:val="24"/>
          <w:szCs w:val="24"/>
        </w:rPr>
        <w:t xml:space="preserve">La OTA se absorbe en el tracto gastrointestinal y pasa a la circulación sistémica, detectándose en sangre y tejidos. Las concentraciones más altas se detectan en los órganos de mayor actividad metabólica como riñón, hígado, músculo y grasa </w:t>
      </w:r>
      <w:r w:rsidRPr="0006081F">
        <w:rPr>
          <w:rFonts w:ascii="Arial" w:hAnsi="Arial" w:cs="Arial"/>
          <w:sz w:val="24"/>
          <w:szCs w:val="24"/>
        </w:rPr>
        <w:fldChar w:fldCharType="begin"/>
      </w:r>
      <w:r w:rsidRPr="0006081F">
        <w:rPr>
          <w:rFonts w:ascii="Arial" w:hAnsi="Arial" w:cs="Arial"/>
          <w:sz w:val="24"/>
          <w:szCs w:val="24"/>
        </w:rPr>
        <w:instrText xml:space="preserve">CITATION ARa11 \l 2058 </w:instrText>
      </w:r>
      <w:r w:rsidRPr="0006081F">
        <w:rPr>
          <w:rFonts w:ascii="Arial" w:hAnsi="Arial" w:cs="Arial"/>
          <w:sz w:val="24"/>
          <w:szCs w:val="24"/>
        </w:rPr>
        <w:fldChar w:fldCharType="separate"/>
      </w:r>
      <w:r w:rsidRPr="00747588">
        <w:rPr>
          <w:rFonts w:ascii="Arial" w:hAnsi="Arial" w:cs="Arial"/>
          <w:noProof/>
          <w:sz w:val="24"/>
          <w:szCs w:val="24"/>
        </w:rPr>
        <w:t>(Abreu &amp; al., 2011)</w:t>
      </w:r>
      <w:r w:rsidRPr="0006081F">
        <w:rPr>
          <w:rFonts w:ascii="Arial" w:hAnsi="Arial" w:cs="Arial"/>
          <w:sz w:val="24"/>
          <w:szCs w:val="24"/>
        </w:rPr>
        <w:fldChar w:fldCharType="end"/>
      </w:r>
      <w:r w:rsidRPr="0006081F">
        <w:rPr>
          <w:rFonts w:ascii="Arial" w:hAnsi="Arial" w:cs="Arial"/>
          <w:sz w:val="24"/>
          <w:szCs w:val="24"/>
        </w:rPr>
        <w:t xml:space="preserve">. Durante su distribución, tiene una alta capacidad de fijación a las proteínas plasmáticas, y presenta una vida media de eliminación larga. Tanto la OTA como sus metabolitos se excretan por vía renal y </w:t>
      </w:r>
      <w:proofErr w:type="spellStart"/>
      <w:r w:rsidRPr="0006081F">
        <w:rPr>
          <w:rFonts w:ascii="Arial" w:hAnsi="Arial" w:cs="Arial"/>
          <w:sz w:val="24"/>
          <w:szCs w:val="24"/>
        </w:rPr>
        <w:t>hepatobiliar</w:t>
      </w:r>
      <w:proofErr w:type="spellEnd"/>
      <w:r w:rsidRPr="0006081F">
        <w:rPr>
          <w:rFonts w:ascii="Arial" w:hAnsi="Arial" w:cs="Arial"/>
          <w:sz w:val="24"/>
          <w:szCs w:val="24"/>
        </w:rPr>
        <w:t xml:space="preserve">, siendo la OT-α su principal metabolito </w:t>
      </w:r>
      <w:r w:rsidRPr="0006081F">
        <w:rPr>
          <w:rFonts w:ascii="Arial" w:hAnsi="Arial" w:cs="Arial"/>
          <w:sz w:val="24"/>
          <w:szCs w:val="24"/>
        </w:rPr>
        <w:fldChar w:fldCharType="begin"/>
      </w:r>
      <w:r w:rsidRPr="0006081F">
        <w:rPr>
          <w:rFonts w:ascii="Arial" w:hAnsi="Arial" w:cs="Arial"/>
          <w:sz w:val="24"/>
          <w:szCs w:val="24"/>
        </w:rPr>
        <w:instrText xml:space="preserve"> CITATION Jos07 \l 2058 </w:instrText>
      </w:r>
      <w:r w:rsidRPr="0006081F">
        <w:rPr>
          <w:rFonts w:ascii="Arial" w:hAnsi="Arial" w:cs="Arial"/>
          <w:sz w:val="24"/>
          <w:szCs w:val="24"/>
        </w:rPr>
        <w:fldChar w:fldCharType="separate"/>
      </w:r>
      <w:r w:rsidRPr="00747588">
        <w:rPr>
          <w:rFonts w:ascii="Arial" w:hAnsi="Arial" w:cs="Arial"/>
          <w:noProof/>
          <w:sz w:val="24"/>
          <w:szCs w:val="24"/>
        </w:rPr>
        <w:t>(Soriano, 2007)</w:t>
      </w:r>
      <w:r w:rsidRPr="0006081F">
        <w:rPr>
          <w:rFonts w:ascii="Arial" w:hAnsi="Arial" w:cs="Arial"/>
          <w:sz w:val="24"/>
          <w:szCs w:val="24"/>
        </w:rPr>
        <w:fldChar w:fldCharType="end"/>
      </w:r>
      <w:r w:rsidRPr="0006081F">
        <w:rPr>
          <w:rFonts w:ascii="Arial" w:hAnsi="Arial" w:cs="Arial"/>
          <w:sz w:val="24"/>
          <w:szCs w:val="24"/>
        </w:rPr>
        <w:t xml:space="preserve">. También se han observado niveles de OTA en las secreciones lácteas lo cual constituye un riesgo para el recién nacido afectándolo de manera directa en su crecimiento y desarrollo (Abreu; et al; 2011). La OTA está clasificada por la Agencia Internacional para la Investigación sobre el Cáncer (IARC) como posiblemente carcinógeno para los seres humanos; grupo 2B </w:t>
      </w:r>
      <w:r w:rsidRPr="0006081F">
        <w:rPr>
          <w:rFonts w:ascii="Arial" w:hAnsi="Arial" w:cs="Arial"/>
          <w:sz w:val="24"/>
          <w:szCs w:val="24"/>
        </w:rPr>
        <w:fldChar w:fldCharType="begin"/>
      </w:r>
      <w:r w:rsidRPr="0006081F">
        <w:rPr>
          <w:rFonts w:ascii="Arial" w:hAnsi="Arial" w:cs="Arial"/>
          <w:sz w:val="24"/>
          <w:szCs w:val="24"/>
        </w:rPr>
        <w:instrText xml:space="preserve"> CITATION IAR93 \l 2058 </w:instrText>
      </w:r>
      <w:r w:rsidRPr="0006081F">
        <w:rPr>
          <w:rFonts w:ascii="Arial" w:hAnsi="Arial" w:cs="Arial"/>
          <w:sz w:val="24"/>
          <w:szCs w:val="24"/>
        </w:rPr>
        <w:fldChar w:fldCharType="separate"/>
      </w:r>
      <w:r w:rsidRPr="00747588">
        <w:rPr>
          <w:rFonts w:ascii="Arial" w:hAnsi="Arial" w:cs="Arial"/>
          <w:noProof/>
          <w:sz w:val="24"/>
          <w:szCs w:val="24"/>
        </w:rPr>
        <w:t>(IARC, 1993)</w:t>
      </w:r>
      <w:r w:rsidRPr="0006081F">
        <w:rPr>
          <w:rFonts w:ascii="Arial" w:hAnsi="Arial" w:cs="Arial"/>
          <w:sz w:val="24"/>
          <w:szCs w:val="24"/>
        </w:rPr>
        <w:fldChar w:fldCharType="end"/>
      </w:r>
      <w:r w:rsidRPr="0006081F">
        <w:rPr>
          <w:rFonts w:ascii="Arial" w:hAnsi="Arial" w:cs="Arial"/>
          <w:sz w:val="24"/>
          <w:szCs w:val="24"/>
        </w:rPr>
        <w:t xml:space="preserve">.  Algunos de los efectos tóxicos son neurológicos, inmunosupresores, </w:t>
      </w:r>
      <w:r w:rsidRPr="0006081F">
        <w:rPr>
          <w:rFonts w:ascii="Arial" w:hAnsi="Arial" w:cs="Arial"/>
          <w:sz w:val="24"/>
          <w:szCs w:val="24"/>
        </w:rPr>
        <w:lastRenderedPageBreak/>
        <w:t xml:space="preserve">genotóxicos, carcinogénicos y teratogénicos (Abreu et. Al; 2011), además es </w:t>
      </w:r>
      <w:r w:rsidRPr="0006081F">
        <w:rPr>
          <w:rFonts w:ascii="Arial" w:hAnsi="Arial" w:cs="Arial"/>
          <w:sz w:val="24"/>
          <w:szCs w:val="24"/>
          <w:shd w:val="clear" w:color="auto" w:fill="FFFFFF"/>
        </w:rPr>
        <w:t>un compuesto nefrotóxico y nefrocarcinogénico que se ha encontrado en los cereales, así también en otros productos como el café, el vino, las frutas secas, cerveza, jugo de uva</w:t>
      </w:r>
      <w:r w:rsidRPr="0006081F">
        <w:rPr>
          <w:rFonts w:ascii="Arial" w:hAnsi="Arial" w:cs="Arial"/>
          <w:sz w:val="24"/>
          <w:szCs w:val="24"/>
          <w:shd w:val="clear" w:color="auto" w:fill="FFFFFF"/>
        </w:rPr>
        <w:fldChar w:fldCharType="begin"/>
      </w:r>
      <w:r w:rsidRPr="0006081F">
        <w:rPr>
          <w:rFonts w:ascii="Arial" w:hAnsi="Arial" w:cs="Arial"/>
          <w:sz w:val="24"/>
          <w:szCs w:val="24"/>
          <w:shd w:val="clear" w:color="auto" w:fill="FFFFFF"/>
        </w:rPr>
        <w:instrText xml:space="preserve"> CITATION Moh11 \l 2058 </w:instrText>
      </w:r>
      <w:r w:rsidRPr="0006081F">
        <w:rPr>
          <w:rFonts w:ascii="Arial" w:hAnsi="Arial" w:cs="Arial"/>
          <w:sz w:val="24"/>
          <w:szCs w:val="24"/>
          <w:shd w:val="clear" w:color="auto" w:fill="FFFFFF"/>
        </w:rPr>
        <w:fldChar w:fldCharType="separate"/>
      </w:r>
      <w:r>
        <w:rPr>
          <w:rFonts w:ascii="Arial" w:hAnsi="Arial" w:cs="Arial"/>
          <w:noProof/>
          <w:sz w:val="24"/>
          <w:szCs w:val="24"/>
          <w:shd w:val="clear" w:color="auto" w:fill="FFFFFF"/>
        </w:rPr>
        <w:t xml:space="preserve"> </w:t>
      </w:r>
      <w:r w:rsidRPr="00747588">
        <w:rPr>
          <w:rFonts w:ascii="Arial" w:hAnsi="Arial" w:cs="Arial"/>
          <w:noProof/>
          <w:sz w:val="24"/>
          <w:szCs w:val="24"/>
          <w:shd w:val="clear" w:color="auto" w:fill="FFFFFF"/>
        </w:rPr>
        <w:t>(Zain, 2011)</w:t>
      </w:r>
      <w:r w:rsidRPr="0006081F">
        <w:rPr>
          <w:rFonts w:ascii="Arial" w:hAnsi="Arial" w:cs="Arial"/>
          <w:sz w:val="24"/>
          <w:szCs w:val="24"/>
          <w:shd w:val="clear" w:color="auto" w:fill="FFFFFF"/>
        </w:rPr>
        <w:fldChar w:fldCharType="end"/>
      </w:r>
      <w:r w:rsidRPr="0006081F">
        <w:rPr>
          <w:rFonts w:ascii="Arial" w:hAnsi="Arial" w:cs="Arial"/>
          <w:sz w:val="24"/>
          <w:szCs w:val="24"/>
          <w:shd w:val="clear" w:color="auto" w:fill="FFFFFF"/>
        </w:rPr>
        <w:t xml:space="preserve"> </w:t>
      </w:r>
      <w:r w:rsidRPr="0006081F">
        <w:rPr>
          <w:rFonts w:ascii="Arial" w:hAnsi="Arial" w:cs="Arial"/>
          <w:sz w:val="24"/>
          <w:szCs w:val="24"/>
        </w:rPr>
        <w:t xml:space="preserve"> y productos de molienda</w:t>
      </w:r>
      <w:r w:rsidRPr="0006081F">
        <w:rPr>
          <w:rFonts w:ascii="Arial" w:hAnsi="Arial" w:cs="Arial"/>
          <w:noProof/>
          <w:sz w:val="24"/>
          <w:szCs w:val="24"/>
        </w:rPr>
        <w:t xml:space="preserve"> (Abreu et al; 2011)</w:t>
      </w:r>
      <w:r>
        <w:rPr>
          <w:rFonts w:ascii="Arial" w:hAnsi="Arial" w:cs="Arial"/>
          <w:sz w:val="24"/>
          <w:szCs w:val="24"/>
          <w:shd w:val="clear" w:color="auto" w:fill="FFFFFF"/>
        </w:rPr>
        <w:t>.</w:t>
      </w:r>
    </w:p>
    <w:p w:rsidR="002C3F1F" w:rsidRPr="001D5C81" w:rsidRDefault="001D5C81" w:rsidP="001D5C81">
      <w:pPr>
        <w:pStyle w:val="Prrafodelista"/>
        <w:numPr>
          <w:ilvl w:val="1"/>
          <w:numId w:val="3"/>
        </w:numPr>
        <w:spacing w:line="360" w:lineRule="auto"/>
        <w:jc w:val="both"/>
        <w:rPr>
          <w:rFonts w:ascii="Arial" w:hAnsi="Arial" w:cs="Arial"/>
          <w:sz w:val="24"/>
          <w:szCs w:val="24"/>
        </w:rPr>
      </w:pPr>
      <w:r>
        <w:rPr>
          <w:rFonts w:ascii="Arial" w:hAnsi="Arial" w:cs="Arial"/>
          <w:sz w:val="24"/>
          <w:szCs w:val="24"/>
        </w:rPr>
        <w:t>El café.</w:t>
      </w:r>
    </w:p>
    <w:p w:rsidR="002C3F1F" w:rsidRPr="0006081F" w:rsidRDefault="002C3F1F" w:rsidP="002C3F1F">
      <w:pPr>
        <w:spacing w:line="360" w:lineRule="auto"/>
        <w:jc w:val="both"/>
        <w:rPr>
          <w:rFonts w:ascii="Arial" w:hAnsi="Arial" w:cs="Arial"/>
          <w:sz w:val="24"/>
          <w:szCs w:val="24"/>
        </w:rPr>
      </w:pPr>
      <w:r>
        <w:rPr>
          <w:rFonts w:ascii="Arial" w:hAnsi="Arial" w:cs="Arial"/>
          <w:sz w:val="24"/>
          <w:szCs w:val="24"/>
        </w:rPr>
        <w:t xml:space="preserve">La planta del café pertenece al </w:t>
      </w:r>
      <w:r w:rsidRPr="0006081F">
        <w:rPr>
          <w:rFonts w:ascii="Arial" w:hAnsi="Arial" w:cs="Arial"/>
          <w:sz w:val="24"/>
          <w:szCs w:val="24"/>
        </w:rPr>
        <w:t xml:space="preserve">género </w:t>
      </w:r>
      <w:proofErr w:type="spellStart"/>
      <w:r>
        <w:rPr>
          <w:rFonts w:ascii="Arial" w:hAnsi="Arial" w:cs="Arial"/>
          <w:i/>
          <w:sz w:val="24"/>
          <w:szCs w:val="24"/>
        </w:rPr>
        <w:t>Coffea</w:t>
      </w:r>
      <w:proofErr w:type="spellEnd"/>
      <w:r>
        <w:rPr>
          <w:rFonts w:ascii="Arial" w:hAnsi="Arial" w:cs="Arial"/>
          <w:i/>
          <w:sz w:val="24"/>
          <w:szCs w:val="24"/>
        </w:rPr>
        <w:t xml:space="preserve"> </w:t>
      </w:r>
      <w:r>
        <w:rPr>
          <w:rFonts w:ascii="Arial" w:hAnsi="Arial" w:cs="Arial"/>
          <w:sz w:val="24"/>
          <w:szCs w:val="24"/>
        </w:rPr>
        <w:t xml:space="preserve">que </w:t>
      </w:r>
      <w:r w:rsidRPr="0006081F">
        <w:rPr>
          <w:rFonts w:ascii="Arial" w:hAnsi="Arial" w:cs="Arial"/>
          <w:sz w:val="24"/>
          <w:szCs w:val="24"/>
        </w:rPr>
        <w:t xml:space="preserve">comprende más de 100 especies, de las cuales </w:t>
      </w:r>
      <w:proofErr w:type="spellStart"/>
      <w:r w:rsidRPr="0006081F">
        <w:rPr>
          <w:rFonts w:ascii="Arial" w:hAnsi="Arial" w:cs="Arial"/>
          <w:i/>
          <w:sz w:val="24"/>
          <w:szCs w:val="24"/>
        </w:rPr>
        <w:t>Coffea</w:t>
      </w:r>
      <w:proofErr w:type="spellEnd"/>
      <w:r w:rsidRPr="0006081F">
        <w:rPr>
          <w:rFonts w:ascii="Arial" w:hAnsi="Arial" w:cs="Arial"/>
          <w:i/>
          <w:sz w:val="24"/>
          <w:szCs w:val="24"/>
        </w:rPr>
        <w:t xml:space="preserve"> </w:t>
      </w:r>
      <w:proofErr w:type="spellStart"/>
      <w:r w:rsidRPr="0006081F">
        <w:rPr>
          <w:rFonts w:ascii="Arial" w:hAnsi="Arial" w:cs="Arial"/>
          <w:i/>
          <w:sz w:val="24"/>
          <w:szCs w:val="24"/>
        </w:rPr>
        <w:t>arabica</w:t>
      </w:r>
      <w:proofErr w:type="spellEnd"/>
      <w:r w:rsidRPr="0006081F">
        <w:rPr>
          <w:rFonts w:ascii="Arial" w:hAnsi="Arial" w:cs="Arial"/>
          <w:sz w:val="24"/>
          <w:szCs w:val="24"/>
        </w:rPr>
        <w:t xml:space="preserve"> y </w:t>
      </w:r>
      <w:proofErr w:type="spellStart"/>
      <w:r w:rsidRPr="0006081F">
        <w:rPr>
          <w:rFonts w:ascii="Arial" w:hAnsi="Arial" w:cs="Arial"/>
          <w:i/>
          <w:sz w:val="24"/>
          <w:szCs w:val="24"/>
        </w:rPr>
        <w:t>Coffea</w:t>
      </w:r>
      <w:proofErr w:type="spellEnd"/>
      <w:r w:rsidRPr="0006081F">
        <w:rPr>
          <w:rFonts w:ascii="Arial" w:hAnsi="Arial" w:cs="Arial"/>
          <w:i/>
          <w:sz w:val="24"/>
          <w:szCs w:val="24"/>
        </w:rPr>
        <w:t xml:space="preserve"> </w:t>
      </w:r>
      <w:proofErr w:type="spellStart"/>
      <w:r w:rsidRPr="0006081F">
        <w:rPr>
          <w:rFonts w:ascii="Arial" w:hAnsi="Arial" w:cs="Arial"/>
          <w:i/>
          <w:sz w:val="24"/>
          <w:szCs w:val="24"/>
        </w:rPr>
        <w:t>canephora</w:t>
      </w:r>
      <w:proofErr w:type="spellEnd"/>
      <w:r w:rsidRPr="0006081F">
        <w:rPr>
          <w:rFonts w:ascii="Arial" w:hAnsi="Arial" w:cs="Arial"/>
          <w:sz w:val="24"/>
          <w:szCs w:val="24"/>
        </w:rPr>
        <w:t xml:space="preserve"> constituyen el 99 % de la producción comercial mundial </w:t>
      </w:r>
      <w:r w:rsidRPr="0006081F">
        <w:rPr>
          <w:rFonts w:ascii="Arial" w:hAnsi="Arial" w:cs="Arial"/>
          <w:sz w:val="24"/>
          <w:szCs w:val="24"/>
        </w:rPr>
        <w:fldChar w:fldCharType="begin"/>
      </w:r>
      <w:r w:rsidRPr="0006081F">
        <w:rPr>
          <w:rFonts w:ascii="Arial" w:hAnsi="Arial" w:cs="Arial"/>
          <w:sz w:val="24"/>
          <w:szCs w:val="24"/>
        </w:rPr>
        <w:instrText xml:space="preserve"> CITATION Glo08 \l 2058 </w:instrText>
      </w:r>
      <w:r w:rsidRPr="0006081F">
        <w:rPr>
          <w:rFonts w:ascii="Arial" w:hAnsi="Arial" w:cs="Arial"/>
          <w:sz w:val="24"/>
          <w:szCs w:val="24"/>
        </w:rPr>
        <w:fldChar w:fldCharType="separate"/>
      </w:r>
      <w:r w:rsidRPr="00747588">
        <w:rPr>
          <w:rFonts w:ascii="Arial" w:hAnsi="Arial" w:cs="Arial"/>
          <w:noProof/>
          <w:sz w:val="24"/>
          <w:szCs w:val="24"/>
        </w:rPr>
        <w:t>(Quintero, 2008)</w:t>
      </w:r>
      <w:r w:rsidRPr="0006081F">
        <w:rPr>
          <w:rFonts w:ascii="Arial" w:hAnsi="Arial" w:cs="Arial"/>
          <w:sz w:val="24"/>
          <w:szCs w:val="24"/>
        </w:rPr>
        <w:fldChar w:fldCharType="end"/>
      </w:r>
      <w:r>
        <w:rPr>
          <w:rFonts w:ascii="Arial" w:hAnsi="Arial" w:cs="Arial"/>
          <w:sz w:val="24"/>
          <w:szCs w:val="24"/>
        </w:rPr>
        <w:t xml:space="preserve">. En el proceso de torrefacción, el café es tostado con calor seco a temperaturas entre 200 y 300° C con agitación contante. Durante este proceso las características físico-químicas son afectadas por el tostado, </w:t>
      </w:r>
      <w:r w:rsidRPr="0006081F">
        <w:rPr>
          <w:rFonts w:ascii="Arial" w:hAnsi="Arial" w:cs="Arial"/>
          <w:sz w:val="24"/>
          <w:szCs w:val="24"/>
        </w:rPr>
        <w:t xml:space="preserve"> calidad industrial, mezclas de variedades de café y por las condiciones de almacenamiento, también la temperatura, presión y volumen de agua influyen. El contenido de agua del café verde es de aproximadamente 12.5%, por ello el grano de café es susceptible de ser contaminado por microorganismos y hongos, como consecuencia hay una alta probabilidad de que el café tostado </w:t>
      </w:r>
      <w:r w:rsidR="001D5C81" w:rsidRPr="001D5C81">
        <w:rPr>
          <w:rFonts w:ascii="Arial" w:hAnsi="Arial" w:cs="Arial"/>
          <w:sz w:val="24"/>
          <w:szCs w:val="24"/>
        </w:rPr>
        <w:t>esté</w:t>
      </w:r>
      <w:r w:rsidRPr="0006081F">
        <w:rPr>
          <w:rFonts w:ascii="Arial" w:hAnsi="Arial" w:cs="Arial"/>
          <w:sz w:val="24"/>
          <w:szCs w:val="24"/>
        </w:rPr>
        <w:t xml:space="preserve"> contaminado por OTA dado que el tostado de café no es un proceso que asegure su total destrucción </w:t>
      </w:r>
      <w:r w:rsidRPr="0006081F">
        <w:rPr>
          <w:rFonts w:ascii="Arial" w:hAnsi="Arial" w:cs="Arial"/>
          <w:sz w:val="24"/>
          <w:szCs w:val="24"/>
        </w:rPr>
        <w:fldChar w:fldCharType="begin"/>
      </w:r>
      <w:r w:rsidRPr="0006081F">
        <w:rPr>
          <w:rFonts w:ascii="Arial" w:hAnsi="Arial" w:cs="Arial"/>
          <w:sz w:val="24"/>
          <w:szCs w:val="24"/>
        </w:rPr>
        <w:instrText xml:space="preserve"> CITATION Ana16 \l 2058 </w:instrText>
      </w:r>
      <w:r w:rsidRPr="0006081F">
        <w:rPr>
          <w:rFonts w:ascii="Arial" w:hAnsi="Arial" w:cs="Arial"/>
          <w:sz w:val="24"/>
          <w:szCs w:val="24"/>
        </w:rPr>
        <w:fldChar w:fldCharType="separate"/>
      </w:r>
      <w:r w:rsidRPr="00747588">
        <w:rPr>
          <w:rFonts w:ascii="Arial" w:hAnsi="Arial" w:cs="Arial"/>
          <w:noProof/>
          <w:sz w:val="24"/>
          <w:szCs w:val="24"/>
        </w:rPr>
        <w:t>(Moraleja, 2016)</w:t>
      </w:r>
      <w:r w:rsidRPr="0006081F">
        <w:rPr>
          <w:rFonts w:ascii="Arial" w:hAnsi="Arial" w:cs="Arial"/>
          <w:sz w:val="24"/>
          <w:szCs w:val="24"/>
        </w:rPr>
        <w:fldChar w:fldCharType="end"/>
      </w:r>
      <w:r w:rsidRPr="0006081F">
        <w:rPr>
          <w:rFonts w:ascii="Arial" w:hAnsi="Arial" w:cs="Arial"/>
          <w:sz w:val="24"/>
          <w:szCs w:val="24"/>
        </w:rPr>
        <w:t>.</w:t>
      </w:r>
    </w:p>
    <w:p w:rsidR="002C3F1F" w:rsidRPr="0006081F" w:rsidRDefault="002C3F1F" w:rsidP="002C3F1F">
      <w:pPr>
        <w:spacing w:line="360" w:lineRule="auto"/>
        <w:jc w:val="both"/>
        <w:rPr>
          <w:rFonts w:ascii="Arial" w:hAnsi="Arial" w:cs="Arial"/>
          <w:sz w:val="24"/>
          <w:szCs w:val="24"/>
        </w:rPr>
      </w:pPr>
      <w:r w:rsidRPr="0006081F">
        <w:rPr>
          <w:rFonts w:ascii="Arial" w:hAnsi="Arial" w:cs="Arial"/>
          <w:sz w:val="24"/>
          <w:szCs w:val="24"/>
        </w:rPr>
        <w:t xml:space="preserve">México cuenta con condiciones ideales para el cultivo del café, con zonas que se encuentran a altitudes mayores a 900 metros sobre el nivel del mar, así como temperaturas que van de los 17.5 </w:t>
      </w:r>
      <w:r w:rsidR="00C12BE0">
        <w:rPr>
          <w:rFonts w:ascii="Arial" w:hAnsi="Arial" w:cs="Arial"/>
          <w:sz w:val="24"/>
          <w:szCs w:val="24"/>
        </w:rPr>
        <w:t xml:space="preserve">a 25.3° C (SAGARPA, 2015). </w:t>
      </w:r>
      <w:r w:rsidRPr="0006081F">
        <w:rPr>
          <w:rFonts w:ascii="Arial" w:hAnsi="Arial" w:cs="Arial"/>
          <w:sz w:val="24"/>
          <w:szCs w:val="24"/>
        </w:rPr>
        <w:t xml:space="preserve">Las características geográficas adecuadas para la producción de café cereza van de una altitud de 600 a 1600 </w:t>
      </w:r>
      <w:proofErr w:type="spellStart"/>
      <w:r w:rsidRPr="0006081F">
        <w:rPr>
          <w:rFonts w:ascii="Arial" w:hAnsi="Arial" w:cs="Arial"/>
          <w:sz w:val="24"/>
          <w:szCs w:val="24"/>
        </w:rPr>
        <w:t>msnmm</w:t>
      </w:r>
      <w:proofErr w:type="spellEnd"/>
      <w:r w:rsidRPr="0006081F">
        <w:rPr>
          <w:rFonts w:ascii="Arial" w:hAnsi="Arial" w:cs="Arial"/>
          <w:sz w:val="24"/>
          <w:szCs w:val="24"/>
        </w:rPr>
        <w:t xml:space="preserve"> con lluvia de 1000 a 3000 mm y a una temperatura de 17 a 23 ° C.  Por tal motivo, la producción está distribuida en 13 estados cafetaleros, destacando Chiapas, Veracruz, Puebla y Oaxaca como los principales productores y en donde se encuentra más del 80 % de la producción, 15% de la producción está en Guerrero, San Luis Potosí, Nayarit e Hidalgo y sólo el 1% en Jalisco, Querétaro, Colima y Tabasco</w:t>
      </w:r>
      <w:r>
        <w:rPr>
          <w:rFonts w:ascii="Arial" w:hAnsi="Arial" w:cs="Arial"/>
          <w:sz w:val="24"/>
          <w:szCs w:val="24"/>
        </w:rPr>
        <w:t xml:space="preserve"> (SIAP; 2016).</w:t>
      </w:r>
      <w:r w:rsidRPr="0006081F">
        <w:rPr>
          <w:rFonts w:ascii="Arial" w:hAnsi="Arial" w:cs="Arial"/>
          <w:sz w:val="24"/>
          <w:szCs w:val="24"/>
        </w:rPr>
        <w:t xml:space="preserve"> </w:t>
      </w:r>
    </w:p>
    <w:p w:rsidR="002C3F1F" w:rsidRPr="001D5C81" w:rsidRDefault="002C3F1F" w:rsidP="001D5C81">
      <w:pPr>
        <w:pStyle w:val="Prrafodelista"/>
        <w:numPr>
          <w:ilvl w:val="1"/>
          <w:numId w:val="3"/>
        </w:numPr>
        <w:spacing w:line="360" w:lineRule="auto"/>
        <w:jc w:val="both"/>
        <w:rPr>
          <w:rFonts w:ascii="Arial" w:hAnsi="Arial" w:cs="Arial"/>
          <w:sz w:val="24"/>
          <w:szCs w:val="24"/>
        </w:rPr>
      </w:pPr>
      <w:r w:rsidRPr="001D5C81">
        <w:rPr>
          <w:rFonts w:ascii="Arial" w:hAnsi="Arial" w:cs="Arial"/>
          <w:sz w:val="24"/>
          <w:szCs w:val="24"/>
        </w:rPr>
        <w:t>Normativa para OTA en café</w:t>
      </w:r>
      <w:r w:rsidR="001D5C81">
        <w:rPr>
          <w:rFonts w:ascii="Arial" w:hAnsi="Arial" w:cs="Arial"/>
          <w:sz w:val="24"/>
          <w:szCs w:val="24"/>
        </w:rPr>
        <w:t>.</w:t>
      </w:r>
    </w:p>
    <w:p w:rsidR="00C12BE0" w:rsidRPr="0006081F" w:rsidRDefault="002C3F1F" w:rsidP="002C3F1F">
      <w:pPr>
        <w:spacing w:line="360" w:lineRule="auto"/>
        <w:jc w:val="both"/>
        <w:rPr>
          <w:rFonts w:ascii="Arial" w:hAnsi="Arial" w:cs="Arial"/>
          <w:sz w:val="24"/>
          <w:szCs w:val="24"/>
        </w:rPr>
      </w:pPr>
      <w:r>
        <w:rPr>
          <w:rFonts w:ascii="Arial" w:hAnsi="Arial" w:cs="Arial"/>
          <w:sz w:val="24"/>
          <w:szCs w:val="24"/>
        </w:rPr>
        <w:t>Actualmente, México no cuenta con normativas para ocratoxina A en alimentos. Sin embargo, existen reglamentaciones en otros países. La Unión Europea establece un límite de 5 µg/Kg para café tostado en grano y mo</w:t>
      </w:r>
      <w:r w:rsidR="00F820D1">
        <w:rPr>
          <w:rFonts w:ascii="Arial" w:hAnsi="Arial" w:cs="Arial"/>
          <w:sz w:val="24"/>
          <w:szCs w:val="24"/>
        </w:rPr>
        <w:t xml:space="preserve">lido, excluido el café soluble </w:t>
      </w:r>
      <w:r>
        <w:rPr>
          <w:rFonts w:ascii="Arial" w:hAnsi="Arial" w:cs="Arial"/>
          <w:sz w:val="24"/>
          <w:szCs w:val="24"/>
        </w:rPr>
        <w:fldChar w:fldCharType="begin"/>
      </w:r>
      <w:r>
        <w:rPr>
          <w:rFonts w:ascii="Arial" w:hAnsi="Arial" w:cs="Arial"/>
          <w:sz w:val="24"/>
          <w:szCs w:val="24"/>
        </w:rPr>
        <w:instrText xml:space="preserve"> CITATION Dia06 \l 2058 </w:instrText>
      </w:r>
      <w:r>
        <w:rPr>
          <w:rFonts w:ascii="Arial" w:hAnsi="Arial" w:cs="Arial"/>
          <w:sz w:val="24"/>
          <w:szCs w:val="24"/>
        </w:rPr>
        <w:fldChar w:fldCharType="separate"/>
      </w:r>
      <w:r w:rsidRPr="00747588">
        <w:rPr>
          <w:rFonts w:ascii="Arial" w:hAnsi="Arial" w:cs="Arial"/>
          <w:noProof/>
          <w:sz w:val="24"/>
          <w:szCs w:val="24"/>
        </w:rPr>
        <w:t>(Diario Oficial de la Union Europea, 2006)</w:t>
      </w:r>
      <w:r>
        <w:rPr>
          <w:rFonts w:ascii="Arial" w:hAnsi="Arial" w:cs="Arial"/>
          <w:sz w:val="24"/>
          <w:szCs w:val="24"/>
        </w:rPr>
        <w:fldChar w:fldCharType="end"/>
      </w:r>
      <w:r>
        <w:rPr>
          <w:rFonts w:ascii="Arial" w:hAnsi="Arial" w:cs="Arial"/>
          <w:sz w:val="24"/>
          <w:szCs w:val="24"/>
        </w:rPr>
        <w:t xml:space="preserve">. </w:t>
      </w:r>
    </w:p>
    <w:p w:rsidR="002C3F1F" w:rsidRPr="001D5C81" w:rsidRDefault="002C3F1F" w:rsidP="001D5C81">
      <w:pPr>
        <w:pStyle w:val="Prrafodelista"/>
        <w:numPr>
          <w:ilvl w:val="0"/>
          <w:numId w:val="3"/>
        </w:numPr>
        <w:tabs>
          <w:tab w:val="left" w:pos="1276"/>
        </w:tabs>
        <w:spacing w:line="360" w:lineRule="auto"/>
        <w:rPr>
          <w:rFonts w:ascii="Arial" w:hAnsi="Arial" w:cs="Arial"/>
          <w:b/>
          <w:sz w:val="24"/>
          <w:szCs w:val="24"/>
        </w:rPr>
      </w:pPr>
      <w:r w:rsidRPr="001D5C81">
        <w:rPr>
          <w:rFonts w:ascii="Arial" w:hAnsi="Arial" w:cs="Arial"/>
          <w:b/>
          <w:sz w:val="24"/>
          <w:szCs w:val="24"/>
        </w:rPr>
        <w:t>ANTECEDENTES</w:t>
      </w:r>
      <w:r w:rsidR="001D5C81">
        <w:rPr>
          <w:rFonts w:ascii="Arial" w:hAnsi="Arial" w:cs="Arial"/>
          <w:b/>
          <w:sz w:val="24"/>
          <w:szCs w:val="24"/>
        </w:rPr>
        <w:t>.</w:t>
      </w:r>
    </w:p>
    <w:p w:rsidR="002C3F1F" w:rsidRPr="0006081F" w:rsidRDefault="002C3F1F" w:rsidP="002C3F1F">
      <w:pPr>
        <w:tabs>
          <w:tab w:val="left" w:pos="851"/>
        </w:tabs>
        <w:spacing w:line="360" w:lineRule="auto"/>
        <w:jc w:val="both"/>
        <w:rPr>
          <w:rFonts w:ascii="Arial" w:hAnsi="Arial" w:cs="Arial"/>
          <w:sz w:val="24"/>
          <w:szCs w:val="24"/>
        </w:rPr>
      </w:pPr>
      <w:r w:rsidRPr="0006081F">
        <w:rPr>
          <w:rFonts w:ascii="Arial" w:hAnsi="Arial" w:cs="Arial"/>
          <w:sz w:val="24"/>
          <w:szCs w:val="24"/>
        </w:rPr>
        <w:t xml:space="preserve">Debido a la presencia de </w:t>
      </w:r>
      <w:r w:rsidR="001D5C81" w:rsidRPr="001D5C81">
        <w:rPr>
          <w:rFonts w:ascii="Arial" w:hAnsi="Arial" w:cs="Arial"/>
          <w:sz w:val="24"/>
          <w:szCs w:val="24"/>
        </w:rPr>
        <w:t>O</w:t>
      </w:r>
      <w:r w:rsidRPr="0006081F">
        <w:rPr>
          <w:rFonts w:ascii="Arial" w:hAnsi="Arial" w:cs="Arial"/>
          <w:sz w:val="24"/>
          <w:szCs w:val="24"/>
        </w:rPr>
        <w:t>cratoxina en alimentos y bebidas típicas en la dieta humana, su estudio se ha convertido cada vez más importante. En el año 2000, un total de 162 muestras de granos de café verde de varios países (84 de África, 60 de América, y 18 de Asia) se analizaron para la OTA. Tanto la cantidad y la variabilidad de los niveles de OTA se ensayaron como una función de la procedencia de café verde. Los resultados mostraron que 106 de las muestras globales fueron positivos para OTA, la concentración que varió de 0 a 48 µL / kg (</w:t>
      </w:r>
      <w:proofErr w:type="spellStart"/>
      <w:r w:rsidRPr="0006081F">
        <w:rPr>
          <w:rFonts w:ascii="Arial" w:hAnsi="Arial" w:cs="Arial"/>
          <w:sz w:val="24"/>
          <w:szCs w:val="24"/>
        </w:rPr>
        <w:t>ppb</w:t>
      </w:r>
      <w:proofErr w:type="spellEnd"/>
      <w:r w:rsidRPr="0006081F">
        <w:rPr>
          <w:rFonts w:ascii="Arial" w:hAnsi="Arial" w:cs="Arial"/>
          <w:sz w:val="24"/>
          <w:szCs w:val="24"/>
        </w:rPr>
        <w:t>)</w:t>
      </w:r>
      <w:r w:rsidRPr="0006081F">
        <w:rPr>
          <w:rFonts w:ascii="Arial" w:hAnsi="Arial" w:cs="Arial"/>
          <w:sz w:val="24"/>
          <w:szCs w:val="24"/>
        </w:rPr>
        <w:fldChar w:fldCharType="begin"/>
      </w:r>
      <w:r w:rsidRPr="0006081F">
        <w:rPr>
          <w:rFonts w:ascii="Arial" w:hAnsi="Arial" w:cs="Arial"/>
          <w:sz w:val="24"/>
          <w:szCs w:val="24"/>
        </w:rPr>
        <w:instrText xml:space="preserve"> CITATION Rom00 \l 2058 </w:instrText>
      </w:r>
      <w:r w:rsidRPr="0006081F">
        <w:rPr>
          <w:rFonts w:ascii="Arial" w:hAnsi="Arial" w:cs="Arial"/>
          <w:sz w:val="24"/>
          <w:szCs w:val="24"/>
        </w:rPr>
        <w:fldChar w:fldCharType="separate"/>
      </w:r>
      <w:r>
        <w:rPr>
          <w:rFonts w:ascii="Arial" w:hAnsi="Arial" w:cs="Arial"/>
          <w:noProof/>
          <w:sz w:val="24"/>
          <w:szCs w:val="24"/>
        </w:rPr>
        <w:t xml:space="preserve"> </w:t>
      </w:r>
      <w:r w:rsidRPr="00747588">
        <w:rPr>
          <w:rFonts w:ascii="Arial" w:hAnsi="Arial" w:cs="Arial"/>
          <w:noProof/>
          <w:sz w:val="24"/>
          <w:szCs w:val="24"/>
        </w:rPr>
        <w:t>(Romani S, 2000)</w:t>
      </w:r>
      <w:r w:rsidRPr="0006081F">
        <w:rPr>
          <w:rFonts w:ascii="Arial" w:hAnsi="Arial" w:cs="Arial"/>
          <w:sz w:val="24"/>
          <w:szCs w:val="24"/>
        </w:rPr>
        <w:fldChar w:fldCharType="end"/>
      </w:r>
      <w:r w:rsidRPr="0006081F">
        <w:rPr>
          <w:rFonts w:ascii="Arial" w:hAnsi="Arial" w:cs="Arial"/>
          <w:sz w:val="24"/>
          <w:szCs w:val="24"/>
        </w:rPr>
        <w:t>.</w:t>
      </w:r>
    </w:p>
    <w:p w:rsidR="002C3F1F" w:rsidRPr="0006081F" w:rsidRDefault="002C3F1F" w:rsidP="002C3F1F">
      <w:pPr>
        <w:tabs>
          <w:tab w:val="left" w:pos="851"/>
        </w:tabs>
        <w:spacing w:line="360" w:lineRule="auto"/>
        <w:jc w:val="both"/>
        <w:rPr>
          <w:rFonts w:ascii="Arial" w:hAnsi="Arial" w:cs="Arial"/>
          <w:sz w:val="24"/>
          <w:szCs w:val="24"/>
        </w:rPr>
      </w:pPr>
      <w:r w:rsidRPr="0006081F">
        <w:rPr>
          <w:rFonts w:ascii="Arial" w:hAnsi="Arial" w:cs="Arial"/>
          <w:sz w:val="24"/>
          <w:szCs w:val="24"/>
        </w:rPr>
        <w:t xml:space="preserve">En Costa Rica, Quintana y colaboradores (2007),  estudiaron la presencia de la OTA A en 110 muestras de diferentes marcas de café tostado y molido de las 12 torrefactoras más importantes del país y de 7 supermercados. A excepción de una muestra de café que dio resultados negativos, el resto de muestras analizadas presentaron la micotoxina en cantidades menores a 4000 </w:t>
      </w:r>
      <w:proofErr w:type="spellStart"/>
      <w:r w:rsidRPr="0006081F">
        <w:rPr>
          <w:rFonts w:ascii="Arial" w:hAnsi="Arial" w:cs="Arial"/>
          <w:sz w:val="24"/>
          <w:szCs w:val="24"/>
        </w:rPr>
        <w:t>ng</w:t>
      </w:r>
      <w:proofErr w:type="spellEnd"/>
      <w:r w:rsidRPr="0006081F">
        <w:rPr>
          <w:rFonts w:ascii="Arial" w:hAnsi="Arial" w:cs="Arial"/>
          <w:sz w:val="24"/>
          <w:szCs w:val="24"/>
        </w:rPr>
        <w:t xml:space="preserve">/L o kg.  </w:t>
      </w:r>
    </w:p>
    <w:p w:rsidR="00F820D1" w:rsidRPr="0006081F" w:rsidRDefault="002C3F1F" w:rsidP="002C3F1F">
      <w:pPr>
        <w:tabs>
          <w:tab w:val="left" w:pos="851"/>
        </w:tabs>
        <w:spacing w:line="360" w:lineRule="auto"/>
        <w:jc w:val="both"/>
        <w:rPr>
          <w:rFonts w:ascii="Arial" w:hAnsi="Arial" w:cs="Arial"/>
          <w:sz w:val="24"/>
          <w:szCs w:val="24"/>
        </w:rPr>
      </w:pPr>
      <w:proofErr w:type="spellStart"/>
      <w:r w:rsidRPr="0006081F">
        <w:rPr>
          <w:rFonts w:ascii="Arial" w:hAnsi="Arial" w:cs="Arial"/>
          <w:sz w:val="24"/>
          <w:szCs w:val="24"/>
        </w:rPr>
        <w:t>Tozlovanu</w:t>
      </w:r>
      <w:proofErr w:type="spellEnd"/>
      <w:r w:rsidRPr="0006081F">
        <w:rPr>
          <w:rFonts w:ascii="Arial" w:hAnsi="Arial" w:cs="Arial"/>
          <w:sz w:val="24"/>
          <w:szCs w:val="24"/>
        </w:rPr>
        <w:t xml:space="preserve"> y  </w:t>
      </w:r>
      <w:proofErr w:type="spellStart"/>
      <w:r w:rsidRPr="0006081F">
        <w:rPr>
          <w:rFonts w:ascii="Arial" w:hAnsi="Arial" w:cs="Arial"/>
          <w:sz w:val="24"/>
          <w:szCs w:val="24"/>
        </w:rPr>
        <w:t>Pfohl-Leszkowicz</w:t>
      </w:r>
      <w:proofErr w:type="spellEnd"/>
      <w:r w:rsidRPr="0006081F">
        <w:rPr>
          <w:rFonts w:ascii="Arial" w:hAnsi="Arial" w:cs="Arial"/>
          <w:sz w:val="24"/>
          <w:szCs w:val="24"/>
        </w:rPr>
        <w:t xml:space="preserve"> (2010) evaluaron el contenido de OTA de 30 cafés tostados comprados en los supermercados franceses, en el cual recuperaron  OTA de 0,5 a 5 mg / kg. Y para el 2014, se realizó un estudio del café de exportación en 15 beneficios, ubicados en Chiriquí, región occidental de Panamá, donde se analizaron 21 muestras de café procesado (grano verde)</w:t>
      </w:r>
      <w:r w:rsidRPr="0006081F">
        <w:rPr>
          <w:rFonts w:ascii="Arial" w:hAnsi="Arial" w:cs="Arial"/>
          <w:sz w:val="24"/>
          <w:szCs w:val="24"/>
        </w:rPr>
        <w:fldChar w:fldCharType="begin"/>
      </w:r>
      <w:r w:rsidRPr="0006081F">
        <w:rPr>
          <w:rFonts w:ascii="Arial" w:hAnsi="Arial" w:cs="Arial"/>
          <w:sz w:val="24"/>
          <w:szCs w:val="24"/>
        </w:rPr>
        <w:instrText xml:space="preserve"> CITATION Mar42 \l 2058 </w:instrText>
      </w:r>
      <w:r w:rsidRPr="0006081F">
        <w:rPr>
          <w:rFonts w:ascii="Arial" w:hAnsi="Arial" w:cs="Arial"/>
          <w:sz w:val="24"/>
          <w:szCs w:val="24"/>
        </w:rPr>
        <w:fldChar w:fldCharType="separate"/>
      </w:r>
      <w:r>
        <w:rPr>
          <w:rFonts w:ascii="Arial" w:hAnsi="Arial" w:cs="Arial"/>
          <w:noProof/>
          <w:sz w:val="24"/>
          <w:szCs w:val="24"/>
        </w:rPr>
        <w:t xml:space="preserve"> </w:t>
      </w:r>
      <w:r w:rsidRPr="00747588">
        <w:rPr>
          <w:rFonts w:ascii="Arial" w:hAnsi="Arial" w:cs="Arial"/>
          <w:noProof/>
          <w:sz w:val="24"/>
          <w:szCs w:val="24"/>
        </w:rPr>
        <w:t>(Pfohl-Leszkowicz, 2010 )</w:t>
      </w:r>
      <w:r w:rsidRPr="0006081F">
        <w:rPr>
          <w:rFonts w:ascii="Arial" w:hAnsi="Arial" w:cs="Arial"/>
          <w:sz w:val="24"/>
          <w:szCs w:val="24"/>
        </w:rPr>
        <w:fldChar w:fldCharType="end"/>
      </w:r>
      <w:r w:rsidRPr="0006081F">
        <w:rPr>
          <w:rFonts w:ascii="Arial" w:hAnsi="Arial" w:cs="Arial"/>
          <w:sz w:val="24"/>
          <w:szCs w:val="24"/>
        </w:rPr>
        <w:t xml:space="preserve">. Mediante el método de inmunoafinidad ELISA, se encontró en la muestra,  que cuatro de las 21 (19%) resultaron positivas a la presencia de OTA con un rango de 4,90-7,73 </w:t>
      </w:r>
      <w:proofErr w:type="spellStart"/>
      <w:r w:rsidRPr="0006081F">
        <w:rPr>
          <w:rFonts w:ascii="Arial" w:hAnsi="Arial" w:cs="Arial"/>
          <w:sz w:val="24"/>
          <w:szCs w:val="24"/>
        </w:rPr>
        <w:t>μg</w:t>
      </w:r>
      <w:proofErr w:type="spellEnd"/>
      <w:r w:rsidRPr="0006081F">
        <w:rPr>
          <w:rFonts w:ascii="Arial" w:hAnsi="Arial" w:cs="Arial"/>
          <w:sz w:val="24"/>
          <w:szCs w:val="24"/>
        </w:rPr>
        <w:t xml:space="preserve">/kg; sólo tres de ellas superaron el límite máximo permitido por la Unión Europea para la concentración de OTA, que es de 5,0 </w:t>
      </w:r>
      <w:proofErr w:type="spellStart"/>
      <w:r w:rsidRPr="0006081F">
        <w:rPr>
          <w:rFonts w:ascii="Arial" w:hAnsi="Arial" w:cs="Arial"/>
          <w:sz w:val="24"/>
          <w:szCs w:val="24"/>
        </w:rPr>
        <w:t>μg</w:t>
      </w:r>
      <w:proofErr w:type="spellEnd"/>
      <w:r w:rsidRPr="0006081F">
        <w:rPr>
          <w:rFonts w:ascii="Arial" w:hAnsi="Arial" w:cs="Arial"/>
          <w:sz w:val="24"/>
          <w:szCs w:val="24"/>
        </w:rPr>
        <w:t>/kg</w:t>
      </w:r>
      <w:r w:rsidRPr="0006081F">
        <w:rPr>
          <w:rFonts w:ascii="Arial" w:hAnsi="Arial" w:cs="Arial"/>
          <w:sz w:val="24"/>
          <w:szCs w:val="24"/>
        </w:rPr>
        <w:fldChar w:fldCharType="begin"/>
      </w:r>
      <w:r w:rsidRPr="0006081F">
        <w:rPr>
          <w:rFonts w:ascii="Arial" w:hAnsi="Arial" w:cs="Arial"/>
          <w:sz w:val="24"/>
          <w:szCs w:val="24"/>
        </w:rPr>
        <w:instrText xml:space="preserve"> CITATION Fra14 \l 2058 </w:instrText>
      </w:r>
      <w:r w:rsidRPr="0006081F">
        <w:rPr>
          <w:rFonts w:ascii="Arial" w:hAnsi="Arial" w:cs="Arial"/>
          <w:sz w:val="24"/>
          <w:szCs w:val="24"/>
        </w:rPr>
        <w:fldChar w:fldCharType="separate"/>
      </w:r>
      <w:r>
        <w:rPr>
          <w:rFonts w:ascii="Arial" w:hAnsi="Arial" w:cs="Arial"/>
          <w:noProof/>
          <w:sz w:val="24"/>
          <w:szCs w:val="24"/>
        </w:rPr>
        <w:t xml:space="preserve"> </w:t>
      </w:r>
      <w:r w:rsidRPr="00747588">
        <w:rPr>
          <w:rFonts w:ascii="Arial" w:hAnsi="Arial" w:cs="Arial"/>
          <w:noProof/>
          <w:sz w:val="24"/>
          <w:szCs w:val="24"/>
        </w:rPr>
        <w:t>(Franco, 2014)</w:t>
      </w:r>
      <w:r w:rsidRPr="0006081F">
        <w:rPr>
          <w:rFonts w:ascii="Arial" w:hAnsi="Arial" w:cs="Arial"/>
          <w:sz w:val="24"/>
          <w:szCs w:val="24"/>
        </w:rPr>
        <w:fldChar w:fldCharType="end"/>
      </w:r>
      <w:r w:rsidRPr="0006081F">
        <w:rPr>
          <w:rFonts w:ascii="Arial" w:hAnsi="Arial" w:cs="Arial"/>
          <w:sz w:val="24"/>
          <w:szCs w:val="24"/>
        </w:rPr>
        <w:t xml:space="preserve">. </w:t>
      </w:r>
    </w:p>
    <w:p w:rsidR="002C3F1F" w:rsidRPr="001D5C81" w:rsidRDefault="002C3F1F" w:rsidP="001D5C81">
      <w:pPr>
        <w:pStyle w:val="Prrafodelista"/>
        <w:numPr>
          <w:ilvl w:val="0"/>
          <w:numId w:val="3"/>
        </w:numPr>
        <w:spacing w:line="360" w:lineRule="auto"/>
        <w:rPr>
          <w:rFonts w:ascii="Arial" w:hAnsi="Arial" w:cs="Arial"/>
          <w:b/>
          <w:sz w:val="24"/>
          <w:szCs w:val="24"/>
        </w:rPr>
      </w:pPr>
      <w:r w:rsidRPr="001D5C81">
        <w:rPr>
          <w:rFonts w:ascii="Arial" w:hAnsi="Arial" w:cs="Arial"/>
          <w:b/>
          <w:sz w:val="24"/>
          <w:szCs w:val="24"/>
        </w:rPr>
        <w:t>JUSTIFICACIÓN</w:t>
      </w:r>
      <w:r w:rsidR="002E0AD3">
        <w:rPr>
          <w:rFonts w:ascii="Arial" w:hAnsi="Arial" w:cs="Arial"/>
          <w:b/>
          <w:sz w:val="24"/>
          <w:szCs w:val="24"/>
        </w:rPr>
        <w:t>.</w:t>
      </w:r>
      <w:r w:rsidRPr="001D5C81">
        <w:rPr>
          <w:rFonts w:ascii="Arial" w:hAnsi="Arial" w:cs="Arial"/>
          <w:b/>
          <w:sz w:val="24"/>
          <w:szCs w:val="24"/>
        </w:rPr>
        <w:t xml:space="preserve"> </w:t>
      </w:r>
    </w:p>
    <w:p w:rsidR="002C3F1F" w:rsidRPr="0006081F" w:rsidRDefault="002C3F1F" w:rsidP="002C3F1F">
      <w:pPr>
        <w:spacing w:line="360" w:lineRule="auto"/>
        <w:jc w:val="both"/>
        <w:rPr>
          <w:rFonts w:ascii="Arial" w:hAnsi="Arial" w:cs="Arial"/>
          <w:sz w:val="24"/>
          <w:szCs w:val="24"/>
        </w:rPr>
      </w:pPr>
      <w:r w:rsidRPr="0006081F">
        <w:rPr>
          <w:rFonts w:ascii="Arial" w:hAnsi="Arial" w:cs="Arial"/>
          <w:sz w:val="24"/>
          <w:szCs w:val="24"/>
        </w:rPr>
        <w:t xml:space="preserve">La presente investigación se enfocará en evaluar la presencia de </w:t>
      </w:r>
      <w:r w:rsidR="001D5C81">
        <w:rPr>
          <w:rFonts w:ascii="Arial" w:hAnsi="Arial" w:cs="Arial"/>
          <w:sz w:val="24"/>
          <w:szCs w:val="24"/>
        </w:rPr>
        <w:t>O</w:t>
      </w:r>
      <w:r w:rsidRPr="0006081F">
        <w:rPr>
          <w:rFonts w:ascii="Arial" w:hAnsi="Arial" w:cs="Arial"/>
          <w:sz w:val="24"/>
          <w:szCs w:val="24"/>
        </w:rPr>
        <w:t xml:space="preserve">cratoxina A en café, </w:t>
      </w:r>
      <w:r w:rsidRPr="001D5C81">
        <w:rPr>
          <w:rFonts w:ascii="Arial" w:hAnsi="Arial" w:cs="Arial"/>
          <w:sz w:val="24"/>
          <w:szCs w:val="24"/>
        </w:rPr>
        <w:t>para establecer si el café producido y comercializado en el estado de Nayarit cumple con los límites máximos permisibles</w:t>
      </w:r>
      <w:r w:rsidR="001D5C81">
        <w:rPr>
          <w:rFonts w:ascii="Arial" w:hAnsi="Arial" w:cs="Arial"/>
          <w:sz w:val="24"/>
          <w:szCs w:val="24"/>
        </w:rPr>
        <w:t xml:space="preserve"> recomendadas por la comisión de la Unión Europea</w:t>
      </w:r>
      <w:r w:rsidRPr="0006081F">
        <w:rPr>
          <w:rFonts w:ascii="Arial" w:hAnsi="Arial" w:cs="Arial"/>
          <w:sz w:val="24"/>
          <w:szCs w:val="24"/>
        </w:rPr>
        <w:t>,  y así mismo,  descartar que la población  está expuesta a los riesgos tóxicos, carcinogénicos y teratogénicos y como consecuencia pueda llegar a ser un problema socioeconómico y de salud importante.</w:t>
      </w:r>
    </w:p>
    <w:p w:rsidR="002C3F1F" w:rsidRPr="001D5C81" w:rsidRDefault="002E0AD3" w:rsidP="001D5C81">
      <w:pPr>
        <w:pStyle w:val="Prrafodelista"/>
        <w:numPr>
          <w:ilvl w:val="0"/>
          <w:numId w:val="3"/>
        </w:numPr>
        <w:spacing w:line="360" w:lineRule="auto"/>
        <w:rPr>
          <w:rFonts w:ascii="Arial" w:hAnsi="Arial" w:cs="Arial"/>
          <w:b/>
          <w:sz w:val="24"/>
          <w:szCs w:val="24"/>
        </w:rPr>
      </w:pPr>
      <w:r>
        <w:rPr>
          <w:rFonts w:ascii="Arial" w:hAnsi="Arial" w:cs="Arial"/>
          <w:b/>
          <w:sz w:val="24"/>
          <w:szCs w:val="24"/>
        </w:rPr>
        <w:t>OBJETIVO GENERAL.</w:t>
      </w:r>
    </w:p>
    <w:p w:rsidR="002C3F1F" w:rsidRPr="000308D0" w:rsidRDefault="002C3F1F" w:rsidP="002C3F1F">
      <w:pPr>
        <w:pStyle w:val="Prrafodelista"/>
        <w:numPr>
          <w:ilvl w:val="0"/>
          <w:numId w:val="2"/>
        </w:numPr>
        <w:spacing w:line="360" w:lineRule="auto"/>
        <w:rPr>
          <w:rFonts w:ascii="Arial" w:hAnsi="Arial" w:cs="Arial"/>
          <w:sz w:val="24"/>
          <w:szCs w:val="24"/>
        </w:rPr>
      </w:pPr>
      <w:r w:rsidRPr="000308D0">
        <w:rPr>
          <w:rFonts w:ascii="Arial" w:hAnsi="Arial" w:cs="Arial"/>
          <w:sz w:val="24"/>
          <w:szCs w:val="24"/>
        </w:rPr>
        <w:t xml:space="preserve">Evaluar la presencia  de Ocratoxina </w:t>
      </w:r>
      <w:proofErr w:type="gramStart"/>
      <w:r w:rsidRPr="000308D0">
        <w:rPr>
          <w:rFonts w:ascii="Arial" w:hAnsi="Arial" w:cs="Arial"/>
          <w:sz w:val="24"/>
          <w:szCs w:val="24"/>
        </w:rPr>
        <w:t>A</w:t>
      </w:r>
      <w:proofErr w:type="gramEnd"/>
      <w:r w:rsidRPr="000308D0">
        <w:rPr>
          <w:rFonts w:ascii="Arial" w:hAnsi="Arial" w:cs="Arial"/>
          <w:sz w:val="24"/>
          <w:szCs w:val="24"/>
        </w:rPr>
        <w:t xml:space="preserve"> en café producido en el Estado de Nayarit, México.</w:t>
      </w:r>
    </w:p>
    <w:p w:rsidR="002C3F1F" w:rsidRPr="001D5C81" w:rsidRDefault="002C3F1F" w:rsidP="001D5C81">
      <w:pPr>
        <w:pStyle w:val="Prrafodelista"/>
        <w:numPr>
          <w:ilvl w:val="1"/>
          <w:numId w:val="3"/>
        </w:numPr>
        <w:spacing w:line="360" w:lineRule="auto"/>
        <w:rPr>
          <w:rFonts w:ascii="Arial" w:hAnsi="Arial" w:cs="Arial"/>
          <w:sz w:val="24"/>
          <w:szCs w:val="24"/>
        </w:rPr>
      </w:pPr>
      <w:r w:rsidRPr="001D5C81">
        <w:rPr>
          <w:rFonts w:ascii="Arial" w:hAnsi="Arial" w:cs="Arial"/>
          <w:sz w:val="24"/>
          <w:szCs w:val="24"/>
        </w:rPr>
        <w:t>OBJETIVOS PARTICULARES:</w:t>
      </w:r>
    </w:p>
    <w:p w:rsidR="001729BC" w:rsidRDefault="001729BC" w:rsidP="002C3F1F">
      <w:pPr>
        <w:pStyle w:val="Prrafodelista"/>
        <w:numPr>
          <w:ilvl w:val="0"/>
          <w:numId w:val="1"/>
        </w:numPr>
        <w:spacing w:line="360" w:lineRule="auto"/>
        <w:rPr>
          <w:rFonts w:ascii="Arial" w:hAnsi="Arial" w:cs="Arial"/>
          <w:sz w:val="24"/>
          <w:szCs w:val="24"/>
        </w:rPr>
      </w:pPr>
      <w:r>
        <w:rPr>
          <w:rFonts w:ascii="Arial" w:hAnsi="Arial" w:cs="Arial"/>
          <w:sz w:val="24"/>
          <w:szCs w:val="24"/>
        </w:rPr>
        <w:t>Cuantificar</w:t>
      </w:r>
      <w:r w:rsidR="001D5C81">
        <w:rPr>
          <w:rFonts w:ascii="Arial" w:hAnsi="Arial" w:cs="Arial"/>
          <w:sz w:val="24"/>
          <w:szCs w:val="24"/>
        </w:rPr>
        <w:t xml:space="preserve"> la Ocratoxina </w:t>
      </w:r>
      <w:proofErr w:type="gramStart"/>
      <w:r w:rsidR="001D5C81">
        <w:rPr>
          <w:rFonts w:ascii="Arial" w:hAnsi="Arial" w:cs="Arial"/>
          <w:sz w:val="24"/>
          <w:szCs w:val="24"/>
        </w:rPr>
        <w:t>A</w:t>
      </w:r>
      <w:proofErr w:type="gramEnd"/>
      <w:r w:rsidR="001D5C81">
        <w:rPr>
          <w:rFonts w:ascii="Arial" w:hAnsi="Arial" w:cs="Arial"/>
          <w:sz w:val="24"/>
          <w:szCs w:val="24"/>
        </w:rPr>
        <w:t xml:space="preserve"> en café producido en el Estado de Nayarit México.</w:t>
      </w:r>
    </w:p>
    <w:p w:rsidR="002C3F1F" w:rsidRPr="000308D0" w:rsidRDefault="002C3F1F" w:rsidP="002C3F1F">
      <w:pPr>
        <w:pStyle w:val="Prrafodelista"/>
        <w:numPr>
          <w:ilvl w:val="0"/>
          <w:numId w:val="1"/>
        </w:numPr>
        <w:spacing w:line="360" w:lineRule="auto"/>
        <w:rPr>
          <w:rFonts w:ascii="Arial" w:hAnsi="Arial" w:cs="Arial"/>
          <w:sz w:val="24"/>
          <w:szCs w:val="24"/>
        </w:rPr>
      </w:pPr>
      <w:r w:rsidRPr="000308D0">
        <w:rPr>
          <w:rFonts w:ascii="Arial" w:hAnsi="Arial" w:cs="Arial"/>
          <w:sz w:val="24"/>
          <w:szCs w:val="24"/>
        </w:rPr>
        <w:t xml:space="preserve">Aislar cepas </w:t>
      </w:r>
      <w:proofErr w:type="spellStart"/>
      <w:r w:rsidR="002E0AD3">
        <w:rPr>
          <w:rFonts w:ascii="Arial" w:hAnsi="Arial" w:cs="Arial"/>
          <w:sz w:val="24"/>
          <w:szCs w:val="24"/>
        </w:rPr>
        <w:t>ocratoxigénicas</w:t>
      </w:r>
      <w:proofErr w:type="spellEnd"/>
      <w:r w:rsidR="002E0AD3">
        <w:rPr>
          <w:rFonts w:ascii="Arial" w:hAnsi="Arial" w:cs="Arial"/>
          <w:sz w:val="24"/>
          <w:szCs w:val="24"/>
        </w:rPr>
        <w:t xml:space="preserve"> </w:t>
      </w:r>
      <w:r w:rsidRPr="000308D0">
        <w:rPr>
          <w:rFonts w:ascii="Arial" w:hAnsi="Arial" w:cs="Arial"/>
          <w:sz w:val="24"/>
          <w:szCs w:val="24"/>
        </w:rPr>
        <w:t>en las muestras de café de los diferentes beneficios para su posterior identificación</w:t>
      </w:r>
    </w:p>
    <w:p w:rsidR="002C3F1F" w:rsidRPr="000308D0" w:rsidRDefault="002C3F1F" w:rsidP="002C3F1F">
      <w:pPr>
        <w:pStyle w:val="Prrafodelista"/>
        <w:numPr>
          <w:ilvl w:val="0"/>
          <w:numId w:val="1"/>
        </w:numPr>
        <w:spacing w:line="360" w:lineRule="auto"/>
        <w:rPr>
          <w:rFonts w:ascii="Arial" w:hAnsi="Arial" w:cs="Arial"/>
          <w:sz w:val="24"/>
          <w:szCs w:val="24"/>
        </w:rPr>
      </w:pPr>
      <w:r w:rsidRPr="000308D0">
        <w:rPr>
          <w:rFonts w:ascii="Arial" w:hAnsi="Arial" w:cs="Arial"/>
          <w:sz w:val="24"/>
          <w:szCs w:val="24"/>
        </w:rPr>
        <w:t>Determinar la Humedad Relativa del café producido en el Estado de Nayarit, México.</w:t>
      </w:r>
    </w:p>
    <w:p w:rsidR="002C3F1F" w:rsidRPr="000308D0" w:rsidRDefault="002C3F1F" w:rsidP="002C3F1F">
      <w:pPr>
        <w:pStyle w:val="Prrafodelista"/>
        <w:numPr>
          <w:ilvl w:val="0"/>
          <w:numId w:val="1"/>
        </w:numPr>
        <w:spacing w:line="360" w:lineRule="auto"/>
        <w:rPr>
          <w:rFonts w:ascii="Arial" w:hAnsi="Arial" w:cs="Arial"/>
          <w:sz w:val="24"/>
          <w:szCs w:val="24"/>
        </w:rPr>
      </w:pPr>
      <w:r w:rsidRPr="000308D0">
        <w:rPr>
          <w:rFonts w:ascii="Arial" w:hAnsi="Arial" w:cs="Arial"/>
          <w:sz w:val="24"/>
          <w:szCs w:val="24"/>
        </w:rPr>
        <w:t>Evaluar la actividad de agua (</w:t>
      </w:r>
      <w:proofErr w:type="spellStart"/>
      <w:r w:rsidRPr="000308D0">
        <w:rPr>
          <w:rFonts w:ascii="Arial" w:hAnsi="Arial" w:cs="Arial"/>
          <w:sz w:val="24"/>
          <w:szCs w:val="24"/>
        </w:rPr>
        <w:t>a</w:t>
      </w:r>
      <w:r w:rsidRPr="000308D0">
        <w:rPr>
          <w:rFonts w:ascii="Arial" w:hAnsi="Arial" w:cs="Arial"/>
          <w:sz w:val="24"/>
          <w:szCs w:val="24"/>
          <w:vertAlign w:val="subscript"/>
        </w:rPr>
        <w:t>w</w:t>
      </w:r>
      <w:proofErr w:type="spellEnd"/>
      <w:r w:rsidRPr="000308D0">
        <w:rPr>
          <w:rFonts w:ascii="Arial" w:hAnsi="Arial" w:cs="Arial"/>
          <w:sz w:val="24"/>
          <w:szCs w:val="24"/>
        </w:rPr>
        <w:t>) del café producido en el Estado de Nayarit, México.</w:t>
      </w:r>
    </w:p>
    <w:p w:rsidR="002C3F1F" w:rsidRPr="002E0AD3" w:rsidRDefault="002C3F1F" w:rsidP="002E0AD3">
      <w:pPr>
        <w:pStyle w:val="Prrafodelista"/>
        <w:numPr>
          <w:ilvl w:val="0"/>
          <w:numId w:val="3"/>
        </w:numPr>
        <w:spacing w:line="360" w:lineRule="auto"/>
        <w:rPr>
          <w:rFonts w:ascii="Arial" w:hAnsi="Arial" w:cs="Arial"/>
          <w:b/>
          <w:sz w:val="24"/>
          <w:szCs w:val="24"/>
        </w:rPr>
      </w:pPr>
      <w:r w:rsidRPr="002E0AD3">
        <w:rPr>
          <w:rFonts w:ascii="Arial" w:hAnsi="Arial" w:cs="Arial"/>
          <w:b/>
          <w:sz w:val="24"/>
          <w:szCs w:val="24"/>
        </w:rPr>
        <w:t>MATERIALES Y MÉTODOS</w:t>
      </w:r>
      <w:r w:rsidR="002E0AD3">
        <w:rPr>
          <w:rFonts w:ascii="Arial" w:hAnsi="Arial" w:cs="Arial"/>
          <w:b/>
          <w:sz w:val="24"/>
          <w:szCs w:val="24"/>
        </w:rPr>
        <w:t>.</w:t>
      </w:r>
    </w:p>
    <w:p w:rsidR="002C3F1F" w:rsidRPr="002E0AD3" w:rsidRDefault="002C3F1F" w:rsidP="002E0AD3">
      <w:pPr>
        <w:pStyle w:val="Prrafodelista"/>
        <w:numPr>
          <w:ilvl w:val="1"/>
          <w:numId w:val="3"/>
        </w:numPr>
        <w:spacing w:line="360" w:lineRule="auto"/>
        <w:jc w:val="both"/>
        <w:rPr>
          <w:rFonts w:ascii="Arial" w:hAnsi="Arial" w:cs="Arial"/>
          <w:sz w:val="24"/>
          <w:szCs w:val="24"/>
        </w:rPr>
      </w:pPr>
      <w:r w:rsidRPr="002E0AD3">
        <w:rPr>
          <w:rFonts w:ascii="Arial" w:hAnsi="Arial" w:cs="Arial"/>
          <w:sz w:val="24"/>
          <w:szCs w:val="24"/>
        </w:rPr>
        <w:t>Muestr</w:t>
      </w:r>
      <w:r w:rsidR="002E0AD3">
        <w:rPr>
          <w:rFonts w:ascii="Arial" w:hAnsi="Arial" w:cs="Arial"/>
          <w:sz w:val="24"/>
          <w:szCs w:val="24"/>
        </w:rPr>
        <w:t>eo.</w:t>
      </w:r>
    </w:p>
    <w:p w:rsidR="002C3F1F" w:rsidRPr="00EC7228" w:rsidRDefault="00AF13FF" w:rsidP="002C3F1F">
      <w:pPr>
        <w:spacing w:line="360" w:lineRule="auto"/>
        <w:jc w:val="both"/>
        <w:rPr>
          <w:rFonts w:ascii="Arial" w:hAnsi="Arial" w:cs="Arial"/>
          <w:sz w:val="24"/>
          <w:szCs w:val="24"/>
        </w:rPr>
      </w:pPr>
      <w:r>
        <w:rPr>
          <w:rFonts w:ascii="Arial" w:hAnsi="Arial" w:cs="Arial"/>
          <w:color w:val="000000"/>
          <w:sz w:val="24"/>
          <w:szCs w:val="24"/>
        </w:rPr>
        <w:t>Se analizaran un total de 18</w:t>
      </w:r>
      <w:r w:rsidR="002C3F1F" w:rsidRPr="00EC7228">
        <w:rPr>
          <w:rFonts w:ascii="Arial" w:hAnsi="Arial" w:cs="Arial"/>
          <w:color w:val="000000"/>
          <w:sz w:val="24"/>
          <w:szCs w:val="24"/>
        </w:rPr>
        <w:t xml:space="preserve"> muestras de l</w:t>
      </w:r>
      <w:r>
        <w:rPr>
          <w:rFonts w:ascii="Arial" w:hAnsi="Arial" w:cs="Arial"/>
          <w:color w:val="000000"/>
          <w:sz w:val="24"/>
          <w:szCs w:val="24"/>
        </w:rPr>
        <w:t>os 6</w:t>
      </w:r>
      <w:r w:rsidR="002C3F1F" w:rsidRPr="00EC7228">
        <w:rPr>
          <w:rFonts w:ascii="Arial" w:hAnsi="Arial" w:cs="Arial"/>
          <w:color w:val="000000"/>
          <w:sz w:val="24"/>
          <w:szCs w:val="24"/>
        </w:rPr>
        <w:t xml:space="preserve"> diferentes productores de café tostado en el estado de Nayarit, México</w:t>
      </w:r>
      <w:r w:rsidR="0091057F">
        <w:rPr>
          <w:rFonts w:ascii="Arial" w:hAnsi="Arial" w:cs="Arial"/>
          <w:color w:val="000000"/>
          <w:sz w:val="24"/>
          <w:szCs w:val="24"/>
        </w:rPr>
        <w:t>;</w:t>
      </w:r>
      <w:r w:rsidR="001D5C81">
        <w:rPr>
          <w:rFonts w:ascii="Arial" w:hAnsi="Arial" w:cs="Arial"/>
          <w:color w:val="000000"/>
          <w:sz w:val="24"/>
          <w:szCs w:val="24"/>
        </w:rPr>
        <w:t xml:space="preserve"> c</w:t>
      </w:r>
      <w:r w:rsidR="0091057F">
        <w:rPr>
          <w:rFonts w:ascii="Arial" w:hAnsi="Arial" w:cs="Arial"/>
          <w:color w:val="000000"/>
          <w:sz w:val="24"/>
          <w:szCs w:val="24"/>
        </w:rPr>
        <w:t>onsiderando</w:t>
      </w:r>
      <w:r w:rsidR="002C3F1F" w:rsidRPr="00EC7228">
        <w:rPr>
          <w:rFonts w:ascii="Arial" w:hAnsi="Arial" w:cs="Arial"/>
          <w:color w:val="000000"/>
          <w:sz w:val="24"/>
          <w:szCs w:val="24"/>
        </w:rPr>
        <w:t xml:space="preserve"> los registros del Instituto Nacional de Estadística y Geografía (</w:t>
      </w:r>
      <w:r w:rsidR="002C3F1F" w:rsidRPr="001A3467">
        <w:rPr>
          <w:rFonts w:ascii="Arial" w:hAnsi="Arial" w:cs="Arial"/>
          <w:color w:val="000000"/>
          <w:sz w:val="24"/>
          <w:szCs w:val="24"/>
        </w:rPr>
        <w:t>INEGI</w:t>
      </w:r>
      <w:r w:rsidR="0091057F" w:rsidRPr="001A3467">
        <w:rPr>
          <w:rFonts w:ascii="Arial" w:hAnsi="Arial" w:cs="Arial"/>
          <w:color w:val="000000"/>
          <w:sz w:val="24"/>
          <w:szCs w:val="24"/>
        </w:rPr>
        <w:t>,</w:t>
      </w:r>
      <w:r w:rsidR="001A3467">
        <w:rPr>
          <w:rFonts w:ascii="Arial" w:hAnsi="Arial" w:cs="Arial"/>
          <w:color w:val="000000"/>
          <w:sz w:val="24"/>
          <w:szCs w:val="24"/>
        </w:rPr>
        <w:t xml:space="preserve"> 2010</w:t>
      </w:r>
      <w:r w:rsidR="002C3F1F" w:rsidRPr="00EC7228">
        <w:rPr>
          <w:rFonts w:ascii="Arial" w:hAnsi="Arial" w:cs="Arial"/>
          <w:color w:val="000000"/>
          <w:sz w:val="24"/>
          <w:szCs w:val="24"/>
        </w:rPr>
        <w:t>)</w:t>
      </w:r>
      <w:r w:rsidR="0091057F">
        <w:rPr>
          <w:rFonts w:ascii="Arial" w:hAnsi="Arial" w:cs="Arial"/>
          <w:color w:val="000000"/>
          <w:sz w:val="24"/>
          <w:szCs w:val="24"/>
        </w:rPr>
        <w:t>.</w:t>
      </w:r>
    </w:p>
    <w:p w:rsidR="002C3F1F" w:rsidRPr="002E0AD3" w:rsidRDefault="002C3F1F" w:rsidP="002E0AD3">
      <w:pPr>
        <w:pStyle w:val="Prrafodelista"/>
        <w:numPr>
          <w:ilvl w:val="1"/>
          <w:numId w:val="3"/>
        </w:numPr>
        <w:spacing w:line="360" w:lineRule="auto"/>
        <w:jc w:val="both"/>
        <w:rPr>
          <w:rFonts w:ascii="Arial" w:hAnsi="Arial" w:cs="Arial"/>
          <w:sz w:val="24"/>
          <w:szCs w:val="24"/>
        </w:rPr>
      </w:pPr>
      <w:r w:rsidRPr="002E0AD3">
        <w:rPr>
          <w:rFonts w:ascii="Arial" w:hAnsi="Arial" w:cs="Arial"/>
          <w:sz w:val="24"/>
          <w:szCs w:val="24"/>
        </w:rPr>
        <w:t>Determinación de OTA</w:t>
      </w:r>
      <w:r w:rsidR="002E0AD3">
        <w:rPr>
          <w:rFonts w:ascii="Arial" w:hAnsi="Arial" w:cs="Arial"/>
          <w:sz w:val="24"/>
          <w:szCs w:val="24"/>
        </w:rPr>
        <w:t>.</w:t>
      </w:r>
    </w:p>
    <w:p w:rsidR="002C3F1F" w:rsidRPr="00EC7228" w:rsidRDefault="002C3F1F" w:rsidP="002C3F1F">
      <w:pPr>
        <w:spacing w:line="360" w:lineRule="auto"/>
        <w:jc w:val="both"/>
        <w:rPr>
          <w:rFonts w:ascii="Arial" w:hAnsi="Arial" w:cs="Arial"/>
          <w:sz w:val="24"/>
          <w:szCs w:val="24"/>
        </w:rPr>
      </w:pPr>
      <w:r w:rsidRPr="00EC7228">
        <w:rPr>
          <w:rFonts w:ascii="Arial" w:hAnsi="Arial" w:cs="Arial"/>
          <w:sz w:val="24"/>
          <w:szCs w:val="24"/>
        </w:rPr>
        <w:t xml:space="preserve">Para la siguiente evaluación se realizará un inmunoensayo enzimático (ELISA) competitivo para el análisis cuantitativo de </w:t>
      </w:r>
      <w:r w:rsidR="002E0AD3" w:rsidRPr="002E0AD3">
        <w:rPr>
          <w:rFonts w:ascii="Arial" w:hAnsi="Arial" w:cs="Arial"/>
          <w:sz w:val="24"/>
          <w:szCs w:val="24"/>
        </w:rPr>
        <w:t>O</w:t>
      </w:r>
      <w:r w:rsidRPr="002E0AD3">
        <w:rPr>
          <w:rFonts w:ascii="Arial" w:hAnsi="Arial" w:cs="Arial"/>
          <w:sz w:val="24"/>
          <w:szCs w:val="24"/>
        </w:rPr>
        <w:t>c</w:t>
      </w:r>
      <w:r w:rsidRPr="00EC7228">
        <w:rPr>
          <w:rFonts w:ascii="Arial" w:hAnsi="Arial" w:cs="Arial"/>
          <w:sz w:val="24"/>
          <w:szCs w:val="24"/>
        </w:rPr>
        <w:t xml:space="preserve">ratoxina A (RIDASCREEN FAST </w:t>
      </w:r>
      <w:proofErr w:type="spellStart"/>
      <w:r w:rsidRPr="00EC7228">
        <w:rPr>
          <w:rFonts w:ascii="Arial" w:hAnsi="Arial" w:cs="Arial"/>
          <w:sz w:val="24"/>
          <w:szCs w:val="24"/>
        </w:rPr>
        <w:t>Ochratoxin</w:t>
      </w:r>
      <w:proofErr w:type="spellEnd"/>
      <w:r w:rsidRPr="00EC7228">
        <w:rPr>
          <w:rFonts w:ascii="Arial" w:hAnsi="Arial" w:cs="Arial"/>
          <w:sz w:val="24"/>
          <w:szCs w:val="24"/>
        </w:rPr>
        <w:t xml:space="preserve"> A). </w:t>
      </w:r>
    </w:p>
    <w:p w:rsidR="002C3F1F" w:rsidRPr="002E0AD3" w:rsidRDefault="002C3F1F" w:rsidP="002E0AD3">
      <w:pPr>
        <w:pStyle w:val="Prrafodelista"/>
        <w:numPr>
          <w:ilvl w:val="1"/>
          <w:numId w:val="3"/>
        </w:numPr>
        <w:spacing w:line="360" w:lineRule="auto"/>
        <w:rPr>
          <w:rFonts w:ascii="Arial" w:hAnsi="Arial" w:cs="Arial"/>
          <w:sz w:val="24"/>
          <w:szCs w:val="24"/>
        </w:rPr>
      </w:pPr>
      <w:r w:rsidRPr="002E0AD3">
        <w:rPr>
          <w:rFonts w:ascii="Arial" w:hAnsi="Arial" w:cs="Arial"/>
          <w:sz w:val="24"/>
          <w:szCs w:val="24"/>
        </w:rPr>
        <w:t>Análisis microbiológico de las muestras de café</w:t>
      </w:r>
      <w:r w:rsidRPr="001A3467">
        <w:rPr>
          <w:rFonts w:ascii="Arial" w:hAnsi="Arial" w:cs="Arial"/>
          <w:sz w:val="24"/>
          <w:szCs w:val="24"/>
        </w:rPr>
        <w:t>.</w:t>
      </w:r>
    </w:p>
    <w:p w:rsidR="002C3F1F" w:rsidRPr="002D77F9" w:rsidRDefault="001A3467" w:rsidP="002C3F1F">
      <w:pPr>
        <w:spacing w:line="360" w:lineRule="auto"/>
        <w:jc w:val="both"/>
        <w:rPr>
          <w:rFonts w:ascii="Arial" w:hAnsi="Arial" w:cs="Arial"/>
          <w:sz w:val="24"/>
          <w:szCs w:val="24"/>
        </w:rPr>
      </w:pPr>
      <w:r>
        <w:rPr>
          <w:rFonts w:ascii="Arial" w:hAnsi="Arial" w:cs="Arial"/>
          <w:sz w:val="24"/>
          <w:szCs w:val="24"/>
        </w:rPr>
        <w:t xml:space="preserve">Se realizará </w:t>
      </w:r>
      <w:r w:rsidR="00B608F0">
        <w:rPr>
          <w:rFonts w:ascii="Arial" w:hAnsi="Arial" w:cs="Arial"/>
          <w:sz w:val="24"/>
          <w:szCs w:val="24"/>
        </w:rPr>
        <w:t xml:space="preserve">de acuerdo a </w:t>
      </w:r>
      <w:r w:rsidR="002C3F1F">
        <w:rPr>
          <w:rFonts w:ascii="Arial" w:hAnsi="Arial" w:cs="Arial"/>
          <w:sz w:val="24"/>
          <w:szCs w:val="24"/>
        </w:rPr>
        <w:t>la norma NOM-111-SSA1-1994</w:t>
      </w:r>
      <w:r w:rsidR="00B512E4">
        <w:rPr>
          <w:rFonts w:ascii="Arial" w:hAnsi="Arial" w:cs="Arial"/>
          <w:sz w:val="24"/>
          <w:szCs w:val="24"/>
        </w:rPr>
        <w:t>. Bienes y Servicios. Método para la cuenta de Mohos y Levaduras en alimentos</w:t>
      </w:r>
      <w:r w:rsidR="002C3F1F">
        <w:rPr>
          <w:rFonts w:ascii="Arial" w:hAnsi="Arial" w:cs="Arial"/>
          <w:sz w:val="24"/>
          <w:szCs w:val="24"/>
        </w:rPr>
        <w:t>. Se pesará 10g de la muestra y se homogenizará en 90mL de solución reguladora de sulfatos, posteriormente se pasará 1 mL de esta solución a cajas Petri por duplicado y se verterá agar papa dextrosa acidificada</w:t>
      </w:r>
      <w:r w:rsidR="00B608F0">
        <w:rPr>
          <w:rFonts w:ascii="Arial" w:hAnsi="Arial" w:cs="Arial"/>
          <w:sz w:val="24"/>
          <w:szCs w:val="24"/>
        </w:rPr>
        <w:t>,</w:t>
      </w:r>
      <w:r w:rsidR="002C3F1F">
        <w:rPr>
          <w:rFonts w:ascii="Arial" w:hAnsi="Arial" w:cs="Arial"/>
          <w:sz w:val="24"/>
          <w:szCs w:val="24"/>
        </w:rPr>
        <w:t xml:space="preserve"> y</w:t>
      </w:r>
      <w:r w:rsidR="00B608F0">
        <w:rPr>
          <w:rFonts w:ascii="Arial" w:hAnsi="Arial" w:cs="Arial"/>
          <w:sz w:val="24"/>
          <w:szCs w:val="24"/>
        </w:rPr>
        <w:t xml:space="preserve"> de igual forma se pasará a</w:t>
      </w:r>
      <w:r w:rsidR="002C3F1F">
        <w:rPr>
          <w:rFonts w:ascii="Arial" w:hAnsi="Arial" w:cs="Arial"/>
          <w:sz w:val="24"/>
          <w:szCs w:val="24"/>
        </w:rPr>
        <w:t xml:space="preserve"> agar </w:t>
      </w:r>
      <w:proofErr w:type="spellStart"/>
      <w:r w:rsidR="002C3F1F" w:rsidRPr="00B608F0">
        <w:rPr>
          <w:rFonts w:ascii="Arial" w:hAnsi="Arial" w:cs="Arial"/>
          <w:sz w:val="24"/>
          <w:szCs w:val="24"/>
        </w:rPr>
        <w:t>Sabouraud</w:t>
      </w:r>
      <w:proofErr w:type="spellEnd"/>
      <w:r w:rsidR="00B608F0">
        <w:rPr>
          <w:rFonts w:ascii="Arial" w:hAnsi="Arial" w:cs="Arial"/>
          <w:sz w:val="24"/>
          <w:szCs w:val="24"/>
        </w:rPr>
        <w:t>;</w:t>
      </w:r>
      <w:r w:rsidR="002C3F1F">
        <w:rPr>
          <w:rFonts w:ascii="Arial" w:hAnsi="Arial" w:cs="Arial"/>
          <w:sz w:val="24"/>
          <w:szCs w:val="24"/>
        </w:rPr>
        <w:t xml:space="preserve"> las cajas se incubarán a temperatura ambiente. Las colonias con características morfológicas de </w:t>
      </w:r>
      <w:r w:rsidR="002C3F1F" w:rsidRPr="002D77F9">
        <w:rPr>
          <w:rFonts w:ascii="Arial" w:hAnsi="Arial" w:cs="Arial"/>
          <w:i/>
          <w:sz w:val="24"/>
          <w:szCs w:val="24"/>
        </w:rPr>
        <w:t>Aspergillus</w:t>
      </w:r>
      <w:r w:rsidR="002C3F1F">
        <w:rPr>
          <w:rFonts w:ascii="Arial" w:hAnsi="Arial" w:cs="Arial"/>
          <w:i/>
          <w:sz w:val="24"/>
          <w:szCs w:val="24"/>
        </w:rPr>
        <w:t xml:space="preserve"> </w:t>
      </w:r>
      <w:r w:rsidR="002C3F1F">
        <w:rPr>
          <w:rFonts w:ascii="Arial" w:hAnsi="Arial" w:cs="Arial"/>
          <w:sz w:val="24"/>
          <w:szCs w:val="24"/>
        </w:rPr>
        <w:t xml:space="preserve">se pasarán al medio </w:t>
      </w:r>
      <w:proofErr w:type="spellStart"/>
      <w:r w:rsidR="002C3F1F">
        <w:rPr>
          <w:rFonts w:ascii="Arial" w:hAnsi="Arial" w:cs="Arial"/>
          <w:sz w:val="24"/>
          <w:szCs w:val="24"/>
        </w:rPr>
        <w:t>Czapek</w:t>
      </w:r>
      <w:proofErr w:type="spellEnd"/>
      <w:r w:rsidR="002C3F1F">
        <w:rPr>
          <w:rFonts w:ascii="Arial" w:hAnsi="Arial" w:cs="Arial"/>
          <w:sz w:val="24"/>
          <w:szCs w:val="24"/>
        </w:rPr>
        <w:t xml:space="preserve">.  Para la identificación de las especies fúngicas se observarán características macroscópicas y microscópicas de los cultivos aislados. Para el estudio microscópico se observará la morfología de los conidióforos y las dimensiones de los conidios a partir de tejido </w:t>
      </w:r>
      <w:proofErr w:type="spellStart"/>
      <w:r w:rsidR="002C3F1F">
        <w:rPr>
          <w:rFonts w:ascii="Arial" w:hAnsi="Arial" w:cs="Arial"/>
          <w:sz w:val="24"/>
          <w:szCs w:val="24"/>
        </w:rPr>
        <w:t>micelial</w:t>
      </w:r>
      <w:proofErr w:type="spellEnd"/>
      <w:r w:rsidR="002C3F1F">
        <w:rPr>
          <w:rFonts w:ascii="Arial" w:hAnsi="Arial" w:cs="Arial"/>
          <w:sz w:val="24"/>
          <w:szCs w:val="24"/>
        </w:rPr>
        <w:t xml:space="preserve"> teñido con azul de </w:t>
      </w:r>
      <w:proofErr w:type="spellStart"/>
      <w:r w:rsidR="002C3F1F">
        <w:rPr>
          <w:rFonts w:ascii="Arial" w:hAnsi="Arial" w:cs="Arial"/>
          <w:sz w:val="24"/>
          <w:szCs w:val="24"/>
        </w:rPr>
        <w:t>lactofenol</w:t>
      </w:r>
      <w:proofErr w:type="spellEnd"/>
      <w:r w:rsidR="002C3F1F">
        <w:rPr>
          <w:rFonts w:ascii="Arial" w:hAnsi="Arial" w:cs="Arial"/>
          <w:sz w:val="24"/>
          <w:szCs w:val="24"/>
        </w:rPr>
        <w:t xml:space="preserve">. </w:t>
      </w:r>
    </w:p>
    <w:p w:rsidR="002C3F1F" w:rsidRPr="00B608F0" w:rsidRDefault="002C3F1F" w:rsidP="00B608F0">
      <w:pPr>
        <w:pStyle w:val="Prrafodelista"/>
        <w:numPr>
          <w:ilvl w:val="1"/>
          <w:numId w:val="3"/>
        </w:numPr>
        <w:spacing w:line="360" w:lineRule="auto"/>
        <w:rPr>
          <w:rFonts w:ascii="Arial" w:hAnsi="Arial" w:cs="Arial"/>
          <w:sz w:val="24"/>
          <w:szCs w:val="24"/>
        </w:rPr>
      </w:pPr>
      <w:r w:rsidRPr="00B608F0">
        <w:rPr>
          <w:rFonts w:ascii="Arial" w:hAnsi="Arial" w:cs="Arial"/>
          <w:sz w:val="24"/>
          <w:szCs w:val="24"/>
        </w:rPr>
        <w:t>Determinación de humedad</w:t>
      </w:r>
    </w:p>
    <w:p w:rsidR="002C3F1F" w:rsidRDefault="002C3F1F" w:rsidP="002C3F1F">
      <w:pPr>
        <w:spacing w:line="360" w:lineRule="auto"/>
        <w:jc w:val="both"/>
        <w:rPr>
          <w:rFonts w:ascii="Arial" w:hAnsi="Arial" w:cs="Arial"/>
          <w:sz w:val="24"/>
          <w:szCs w:val="24"/>
        </w:rPr>
      </w:pPr>
      <w:r w:rsidRPr="004F4B55">
        <w:rPr>
          <w:rFonts w:ascii="Arial" w:hAnsi="Arial" w:cs="Arial"/>
          <w:sz w:val="24"/>
          <w:szCs w:val="24"/>
        </w:rPr>
        <w:t>La determinación de humedad en granos de café tostado y molido se realizará de acuerdo con la NMX-F-013-2000</w:t>
      </w:r>
      <w:r w:rsidR="00B512E4">
        <w:rPr>
          <w:rFonts w:ascii="Arial" w:hAnsi="Arial" w:cs="Arial"/>
          <w:sz w:val="24"/>
          <w:szCs w:val="24"/>
        </w:rPr>
        <w:t>. C</w:t>
      </w:r>
      <w:r w:rsidR="00F820D1">
        <w:rPr>
          <w:rFonts w:ascii="Arial" w:hAnsi="Arial" w:cs="Arial"/>
          <w:sz w:val="24"/>
          <w:szCs w:val="24"/>
        </w:rPr>
        <w:t>a</w:t>
      </w:r>
      <w:r w:rsidR="00B512E4">
        <w:rPr>
          <w:rFonts w:ascii="Arial" w:hAnsi="Arial" w:cs="Arial"/>
          <w:sz w:val="24"/>
          <w:szCs w:val="24"/>
        </w:rPr>
        <w:t>fé puro tostado, en grano o molido, sin descafeinar o descafeinado. Especificaciones y métodos de p</w:t>
      </w:r>
      <w:r w:rsidR="00F820D1">
        <w:rPr>
          <w:rFonts w:ascii="Arial" w:hAnsi="Arial" w:cs="Arial"/>
          <w:sz w:val="24"/>
          <w:szCs w:val="24"/>
        </w:rPr>
        <w:t>r</w:t>
      </w:r>
      <w:r w:rsidR="00B512E4">
        <w:rPr>
          <w:rFonts w:ascii="Arial" w:hAnsi="Arial" w:cs="Arial"/>
          <w:sz w:val="24"/>
          <w:szCs w:val="24"/>
        </w:rPr>
        <w:t>ueba</w:t>
      </w:r>
      <w:r w:rsidRPr="004F4B55">
        <w:rPr>
          <w:rFonts w:ascii="Arial" w:hAnsi="Arial" w:cs="Arial"/>
          <w:sz w:val="24"/>
          <w:szCs w:val="24"/>
        </w:rPr>
        <w:t>.</w:t>
      </w:r>
    </w:p>
    <w:p w:rsidR="002C3F1F" w:rsidRPr="00B608F0" w:rsidRDefault="002C3F1F" w:rsidP="00B608F0">
      <w:pPr>
        <w:pStyle w:val="Prrafodelista"/>
        <w:numPr>
          <w:ilvl w:val="1"/>
          <w:numId w:val="3"/>
        </w:numPr>
        <w:spacing w:line="360" w:lineRule="auto"/>
        <w:jc w:val="both"/>
        <w:rPr>
          <w:rFonts w:ascii="Arial" w:hAnsi="Arial" w:cs="Arial"/>
          <w:sz w:val="24"/>
          <w:szCs w:val="24"/>
        </w:rPr>
      </w:pPr>
      <w:r w:rsidRPr="00B608F0">
        <w:rPr>
          <w:rFonts w:ascii="Arial" w:hAnsi="Arial" w:cs="Arial"/>
          <w:sz w:val="24"/>
          <w:szCs w:val="24"/>
        </w:rPr>
        <w:t>Evaluación de actividad de agua (</w:t>
      </w:r>
      <w:proofErr w:type="spellStart"/>
      <w:r w:rsidRPr="00B608F0">
        <w:rPr>
          <w:rFonts w:ascii="Arial" w:hAnsi="Arial" w:cs="Arial"/>
          <w:sz w:val="24"/>
          <w:szCs w:val="24"/>
        </w:rPr>
        <w:t>a</w:t>
      </w:r>
      <w:r w:rsidRPr="00B608F0">
        <w:rPr>
          <w:rFonts w:ascii="Arial" w:hAnsi="Arial" w:cs="Arial"/>
          <w:sz w:val="24"/>
          <w:szCs w:val="24"/>
          <w:vertAlign w:val="subscript"/>
        </w:rPr>
        <w:t>w</w:t>
      </w:r>
      <w:proofErr w:type="spellEnd"/>
      <w:r w:rsidRPr="00B608F0">
        <w:rPr>
          <w:rFonts w:ascii="Arial" w:hAnsi="Arial" w:cs="Arial"/>
          <w:sz w:val="24"/>
          <w:szCs w:val="24"/>
        </w:rPr>
        <w:t>)</w:t>
      </w:r>
    </w:p>
    <w:p w:rsidR="002C3F1F" w:rsidRDefault="002C3F1F" w:rsidP="002C3F1F">
      <w:pPr>
        <w:spacing w:line="360" w:lineRule="auto"/>
        <w:jc w:val="both"/>
        <w:rPr>
          <w:rFonts w:ascii="Arial" w:hAnsi="Arial" w:cs="Arial"/>
          <w:sz w:val="24"/>
          <w:szCs w:val="24"/>
        </w:rPr>
      </w:pPr>
      <w:r>
        <w:rPr>
          <w:rFonts w:ascii="Arial" w:hAnsi="Arial" w:cs="Arial"/>
          <w:sz w:val="24"/>
          <w:szCs w:val="24"/>
        </w:rPr>
        <w:t xml:space="preserve">En cada muestra se evaluarán la </w:t>
      </w:r>
      <w:proofErr w:type="spellStart"/>
      <w:r>
        <w:rPr>
          <w:rFonts w:ascii="Arial" w:hAnsi="Arial" w:cs="Arial"/>
          <w:sz w:val="24"/>
          <w:szCs w:val="24"/>
        </w:rPr>
        <w:t>a</w:t>
      </w:r>
      <w:r w:rsidRPr="005E5161">
        <w:rPr>
          <w:rFonts w:ascii="Arial" w:hAnsi="Arial" w:cs="Arial"/>
          <w:sz w:val="24"/>
          <w:szCs w:val="24"/>
          <w:vertAlign w:val="subscript"/>
        </w:rPr>
        <w:t>w</w:t>
      </w:r>
      <w:proofErr w:type="spellEnd"/>
      <w:r>
        <w:rPr>
          <w:rFonts w:ascii="Arial" w:hAnsi="Arial" w:cs="Arial"/>
          <w:sz w:val="24"/>
          <w:szCs w:val="24"/>
          <w:vertAlign w:val="subscript"/>
        </w:rPr>
        <w:t xml:space="preserve"> </w:t>
      </w:r>
      <w:r>
        <w:rPr>
          <w:rFonts w:ascii="Arial" w:hAnsi="Arial" w:cs="Arial"/>
          <w:sz w:val="24"/>
          <w:szCs w:val="24"/>
        </w:rPr>
        <w:t>utilizando un medidor (</w:t>
      </w:r>
      <w:proofErr w:type="spellStart"/>
      <w:r>
        <w:rPr>
          <w:rFonts w:ascii="Arial" w:hAnsi="Arial" w:cs="Arial"/>
          <w:sz w:val="24"/>
          <w:szCs w:val="24"/>
        </w:rPr>
        <w:t>Aqualab</w:t>
      </w:r>
      <w:proofErr w:type="spellEnd"/>
      <w:r w:rsidRPr="000308D0">
        <w:rPr>
          <w:rFonts w:ascii="Arial" w:hAnsi="Arial" w:cs="Arial"/>
          <w:sz w:val="24"/>
          <w:szCs w:val="24"/>
          <w:vertAlign w:val="superscript"/>
        </w:rPr>
        <w:t>®</w:t>
      </w:r>
      <w:r>
        <w:rPr>
          <w:rFonts w:ascii="Arial" w:hAnsi="Arial" w:cs="Arial"/>
          <w:sz w:val="24"/>
          <w:szCs w:val="24"/>
        </w:rPr>
        <w:t>); el cual se calibrará previamente con agua destilada (</w:t>
      </w:r>
      <w:proofErr w:type="spellStart"/>
      <w:r>
        <w:rPr>
          <w:rFonts w:ascii="Arial" w:hAnsi="Arial" w:cs="Arial"/>
          <w:sz w:val="24"/>
          <w:szCs w:val="24"/>
        </w:rPr>
        <w:t>a</w:t>
      </w:r>
      <w:r w:rsidRPr="005E5161">
        <w:rPr>
          <w:rFonts w:ascii="Arial" w:hAnsi="Arial" w:cs="Arial"/>
          <w:sz w:val="24"/>
          <w:szCs w:val="24"/>
          <w:vertAlign w:val="subscript"/>
        </w:rPr>
        <w:t>w</w:t>
      </w:r>
      <w:proofErr w:type="spellEnd"/>
      <w:r>
        <w:rPr>
          <w:rFonts w:ascii="Arial" w:hAnsi="Arial" w:cs="Arial"/>
          <w:sz w:val="24"/>
          <w:szCs w:val="24"/>
        </w:rPr>
        <w:t>=1.0) y soluciones de K</w:t>
      </w:r>
      <w:r w:rsidRPr="00121589">
        <w:rPr>
          <w:rFonts w:ascii="Arial" w:hAnsi="Arial" w:cs="Arial"/>
          <w:sz w:val="24"/>
          <w:szCs w:val="24"/>
          <w:vertAlign w:val="subscript"/>
        </w:rPr>
        <w:t>2</w:t>
      </w:r>
      <w:r>
        <w:rPr>
          <w:rFonts w:ascii="Arial" w:hAnsi="Arial" w:cs="Arial"/>
          <w:sz w:val="24"/>
          <w:szCs w:val="24"/>
        </w:rPr>
        <w:t>SO</w:t>
      </w:r>
      <w:r w:rsidRPr="00121589">
        <w:rPr>
          <w:rFonts w:ascii="Arial" w:hAnsi="Arial" w:cs="Arial"/>
          <w:sz w:val="24"/>
          <w:szCs w:val="24"/>
          <w:vertAlign w:val="subscript"/>
        </w:rPr>
        <w:t>3</w:t>
      </w:r>
      <w:r>
        <w:rPr>
          <w:rFonts w:ascii="Arial" w:hAnsi="Arial" w:cs="Arial"/>
          <w:sz w:val="24"/>
          <w:szCs w:val="24"/>
        </w:rPr>
        <w:t xml:space="preserve"> (</w:t>
      </w:r>
      <w:proofErr w:type="spellStart"/>
      <w:r>
        <w:rPr>
          <w:rFonts w:ascii="Arial" w:hAnsi="Arial" w:cs="Arial"/>
          <w:sz w:val="24"/>
          <w:szCs w:val="24"/>
        </w:rPr>
        <w:t>a</w:t>
      </w:r>
      <w:r w:rsidRPr="005E5161">
        <w:rPr>
          <w:rFonts w:ascii="Arial" w:hAnsi="Arial" w:cs="Arial"/>
          <w:sz w:val="24"/>
          <w:szCs w:val="24"/>
          <w:vertAlign w:val="subscript"/>
        </w:rPr>
        <w:t>w</w:t>
      </w:r>
      <w:proofErr w:type="spellEnd"/>
      <w:r>
        <w:rPr>
          <w:rFonts w:ascii="Arial" w:hAnsi="Arial" w:cs="Arial"/>
          <w:sz w:val="24"/>
          <w:szCs w:val="24"/>
        </w:rPr>
        <w:t xml:space="preserve">=0.975), KCI y </w:t>
      </w:r>
      <w:proofErr w:type="spellStart"/>
      <w:r>
        <w:rPr>
          <w:rFonts w:ascii="Arial" w:hAnsi="Arial" w:cs="Arial"/>
          <w:sz w:val="24"/>
          <w:szCs w:val="24"/>
        </w:rPr>
        <w:t>NaCl</w:t>
      </w:r>
      <w:proofErr w:type="spellEnd"/>
      <w:r>
        <w:rPr>
          <w:rFonts w:ascii="Arial" w:hAnsi="Arial" w:cs="Arial"/>
          <w:sz w:val="24"/>
          <w:szCs w:val="24"/>
        </w:rPr>
        <w:t xml:space="preserve"> 6M (</w:t>
      </w:r>
      <w:proofErr w:type="spellStart"/>
      <w:r>
        <w:rPr>
          <w:rFonts w:ascii="Arial" w:hAnsi="Arial" w:cs="Arial"/>
          <w:sz w:val="24"/>
          <w:szCs w:val="24"/>
        </w:rPr>
        <w:t>a</w:t>
      </w:r>
      <w:r w:rsidRPr="005E5161">
        <w:rPr>
          <w:rFonts w:ascii="Arial" w:hAnsi="Arial" w:cs="Arial"/>
          <w:sz w:val="24"/>
          <w:szCs w:val="24"/>
          <w:vertAlign w:val="subscript"/>
        </w:rPr>
        <w:t>w</w:t>
      </w:r>
      <w:proofErr w:type="spellEnd"/>
      <w:r>
        <w:rPr>
          <w:rFonts w:ascii="Arial" w:hAnsi="Arial" w:cs="Arial"/>
          <w:sz w:val="24"/>
          <w:szCs w:val="24"/>
        </w:rPr>
        <w:t xml:space="preserve">=0.760). </w:t>
      </w:r>
    </w:p>
    <w:p w:rsidR="008D4F7D" w:rsidRDefault="008D4F7D" w:rsidP="008D4F7D">
      <w:pPr>
        <w:pStyle w:val="Prrafodelista"/>
        <w:numPr>
          <w:ilvl w:val="1"/>
          <w:numId w:val="3"/>
        </w:numPr>
        <w:spacing w:line="360" w:lineRule="auto"/>
        <w:jc w:val="both"/>
        <w:rPr>
          <w:rFonts w:ascii="Arial" w:hAnsi="Arial" w:cs="Arial"/>
          <w:sz w:val="24"/>
          <w:szCs w:val="24"/>
        </w:rPr>
      </w:pPr>
      <w:r>
        <w:rPr>
          <w:rFonts w:ascii="Arial" w:hAnsi="Arial" w:cs="Arial"/>
          <w:sz w:val="24"/>
          <w:szCs w:val="24"/>
        </w:rPr>
        <w:t>Análisis de datos.</w:t>
      </w:r>
    </w:p>
    <w:p w:rsidR="008D4F7D" w:rsidRPr="008D4F7D" w:rsidRDefault="008D4F7D" w:rsidP="008D4F7D">
      <w:pPr>
        <w:spacing w:line="360" w:lineRule="auto"/>
        <w:jc w:val="both"/>
        <w:rPr>
          <w:rFonts w:ascii="Arial" w:hAnsi="Arial" w:cs="Arial"/>
          <w:sz w:val="24"/>
          <w:szCs w:val="24"/>
        </w:rPr>
      </w:pPr>
      <w:r>
        <w:rPr>
          <w:rFonts w:ascii="Arial" w:hAnsi="Arial" w:cs="Arial"/>
          <w:sz w:val="24"/>
          <w:szCs w:val="24"/>
        </w:rPr>
        <w:t xml:space="preserve">La concentración de </w:t>
      </w:r>
      <w:r w:rsidR="00C12BE0">
        <w:rPr>
          <w:rFonts w:ascii="Arial" w:hAnsi="Arial" w:cs="Arial"/>
          <w:sz w:val="24"/>
          <w:szCs w:val="24"/>
        </w:rPr>
        <w:t xml:space="preserve">OTA </w:t>
      </w:r>
      <w:r>
        <w:rPr>
          <w:rFonts w:ascii="Arial" w:hAnsi="Arial" w:cs="Arial"/>
          <w:sz w:val="24"/>
          <w:szCs w:val="24"/>
        </w:rPr>
        <w:t>en las muestras analizadas se obtuvieron por medio del software (</w:t>
      </w:r>
      <w:proofErr w:type="spellStart"/>
      <w:r w:rsidR="00C852A6">
        <w:rPr>
          <w:rFonts w:ascii="Arial" w:hAnsi="Arial" w:cs="Arial"/>
          <w:sz w:val="24"/>
          <w:szCs w:val="24"/>
        </w:rPr>
        <w:t>Ridasoft</w:t>
      </w:r>
      <w:proofErr w:type="spellEnd"/>
      <w:r w:rsidR="00C852A6">
        <w:rPr>
          <w:rFonts w:ascii="Arial" w:hAnsi="Arial" w:cs="Arial"/>
          <w:sz w:val="24"/>
          <w:szCs w:val="24"/>
        </w:rPr>
        <w:t xml:space="preserve"> Win.NET-FAST</w:t>
      </w:r>
      <w:r>
        <w:rPr>
          <w:rFonts w:ascii="Arial" w:hAnsi="Arial" w:cs="Arial"/>
          <w:sz w:val="24"/>
          <w:szCs w:val="24"/>
        </w:rPr>
        <w:t>)</w:t>
      </w:r>
      <w:r w:rsidR="00C12BE0">
        <w:rPr>
          <w:rFonts w:ascii="Arial" w:hAnsi="Arial" w:cs="Arial"/>
          <w:sz w:val="24"/>
          <w:szCs w:val="24"/>
        </w:rPr>
        <w:t>.</w:t>
      </w:r>
    </w:p>
    <w:p w:rsidR="008D4F7D" w:rsidRPr="008D4F7D" w:rsidRDefault="002C3F1F" w:rsidP="002C3F1F">
      <w:pPr>
        <w:pStyle w:val="Prrafodelista"/>
        <w:numPr>
          <w:ilvl w:val="0"/>
          <w:numId w:val="3"/>
        </w:numPr>
        <w:spacing w:line="360" w:lineRule="auto"/>
        <w:jc w:val="both"/>
        <w:rPr>
          <w:rFonts w:ascii="Arial" w:hAnsi="Arial" w:cs="Arial"/>
          <w:b/>
          <w:sz w:val="24"/>
          <w:szCs w:val="24"/>
        </w:rPr>
      </w:pPr>
      <w:r w:rsidRPr="00B608F0">
        <w:rPr>
          <w:rFonts w:ascii="Arial" w:hAnsi="Arial" w:cs="Arial"/>
          <w:b/>
          <w:sz w:val="24"/>
          <w:szCs w:val="24"/>
        </w:rPr>
        <w:t>RESULTADOS PRELIMINARES</w:t>
      </w:r>
    </w:p>
    <w:p w:rsidR="006B2AEB" w:rsidRDefault="00FE6927" w:rsidP="006B2AEB">
      <w:pPr>
        <w:spacing w:line="360" w:lineRule="auto"/>
        <w:jc w:val="both"/>
        <w:rPr>
          <w:rFonts w:ascii="Arial" w:hAnsi="Arial" w:cs="Arial"/>
          <w:sz w:val="24"/>
          <w:szCs w:val="24"/>
        </w:rPr>
      </w:pPr>
      <w:r>
        <w:rPr>
          <w:rFonts w:ascii="Arial" w:hAnsi="Arial" w:cs="Arial"/>
          <w:noProof/>
          <w:sz w:val="24"/>
          <w:szCs w:val="24"/>
          <w:lang w:eastAsia="es-MX"/>
        </w:rPr>
        <mc:AlternateContent>
          <mc:Choice Requires="wps">
            <w:drawing>
              <wp:anchor distT="0" distB="0" distL="114300" distR="114300" simplePos="0" relativeHeight="251662336" behindDoc="0" locked="0" layoutInCell="1" allowOverlap="1" wp14:anchorId="719204CB" wp14:editId="09CED610">
                <wp:simplePos x="0" y="0"/>
                <wp:positionH relativeFrom="margin">
                  <wp:align>left</wp:align>
                </wp:positionH>
                <wp:positionV relativeFrom="paragraph">
                  <wp:posOffset>1537970</wp:posOffset>
                </wp:positionV>
                <wp:extent cx="2486025" cy="238125"/>
                <wp:effectExtent l="0" t="0" r="28575" b="28575"/>
                <wp:wrapNone/>
                <wp:docPr id="2" name="Cuadro de texto 2"/>
                <wp:cNvGraphicFramePr/>
                <a:graphic xmlns:a="http://schemas.openxmlformats.org/drawingml/2006/main">
                  <a:graphicData uri="http://schemas.microsoft.com/office/word/2010/wordprocessingShape">
                    <wps:wsp>
                      <wps:cNvSpPr txBox="1"/>
                      <wps:spPr>
                        <a:xfrm>
                          <a:off x="0" y="0"/>
                          <a:ext cx="248602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B2AEB" w:rsidRDefault="006B2AEB">
                            <w:r w:rsidRPr="008D4F7D">
                              <w:rPr>
                                <w:rFonts w:ascii="Arial" w:hAnsi="Arial" w:cs="Arial"/>
                                <w:sz w:val="20"/>
                                <w:szCs w:val="20"/>
                              </w:rPr>
                              <w:t>Figura 1: Curva estándar de Calibración para Ocratoxina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9204CB" id="_x0000_t202" coordsize="21600,21600" o:spt="202" path="m,l,21600r21600,l21600,xe">
                <v:stroke joinstyle="miter"/>
                <v:path gradientshapeok="t" o:connecttype="rect"/>
              </v:shapetype>
              <v:shape id="Cuadro de texto 2" o:spid="_x0000_s1026" type="#_x0000_t202" style="position:absolute;left:0;text-align:left;margin-left:0;margin-top:121.1pt;width:195.75pt;height:18.7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" fillcolor="white [3201]" strokeweight=".5pt">
                <v:textbox>
                  <w:txbxContent>
                    <w:p w:rsidR="006B2AEB" w:rsidRDefault="006B2AEB">
                      <w:r w:rsidRPr="008D4F7D">
                        <w:rPr>
                          <w:rFonts w:ascii="Arial" w:hAnsi="Arial" w:cs="Arial"/>
                          <w:sz w:val="20"/>
                          <w:szCs w:val="20"/>
                        </w:rPr>
                        <w:t>Figura 1: Curva estándar de Calibración para Ocratoxina A.</w:t>
                      </w:r>
                    </w:p>
                  </w:txbxContent>
                </v:textbox>
                <w10:wrap anchorx="margin"/>
              </v:shape>
            </w:pict>
          </mc:Fallback>
        </mc:AlternateContent>
      </w:r>
      <w:r w:rsidR="006B2AEB" w:rsidRPr="004C3BC3">
        <w:rPr>
          <w:noProof/>
          <w:lang w:eastAsia="es-MX"/>
        </w:rPr>
        <w:drawing>
          <wp:anchor distT="0" distB="0" distL="114300" distR="114300" simplePos="0" relativeHeight="251660288" behindDoc="0" locked="0" layoutInCell="1" allowOverlap="1" wp14:anchorId="256BAD71" wp14:editId="2EE9929B">
            <wp:simplePos x="0" y="0"/>
            <wp:positionH relativeFrom="margin">
              <wp:align>left</wp:align>
            </wp:positionH>
            <wp:positionV relativeFrom="margin">
              <wp:posOffset>5024755</wp:posOffset>
            </wp:positionV>
            <wp:extent cx="2390775" cy="1476375"/>
            <wp:effectExtent l="0" t="0" r="9525"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6">
                      <a:extLst>
                        <a:ext uri="{28A0092B-C50C-407E-A947-70E740481C1C}">
                          <a14:useLocalDpi xmlns:a14="http://schemas.microsoft.com/office/drawing/2010/main" val="0"/>
                        </a:ext>
                      </a:extLst>
                    </a:blip>
                    <a:srcRect l="34050" t="23251" r="41422" b="27644"/>
                    <a:stretch>
                      <a:fillRect/>
                    </a:stretch>
                  </pic:blipFill>
                  <pic:spPr bwMode="auto">
                    <a:xfrm>
                      <a:off x="0" y="0"/>
                      <a:ext cx="2390775" cy="1476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D4F7D">
        <w:rPr>
          <w:rFonts w:ascii="Arial" w:hAnsi="Arial" w:cs="Arial"/>
          <w:sz w:val="24"/>
          <w:szCs w:val="24"/>
        </w:rPr>
        <w:t>Se</w:t>
      </w:r>
      <w:r w:rsidR="002C3F1F">
        <w:rPr>
          <w:rFonts w:ascii="Arial" w:hAnsi="Arial" w:cs="Arial"/>
          <w:sz w:val="24"/>
          <w:szCs w:val="24"/>
        </w:rPr>
        <w:t xml:space="preserve"> observa la curva de calibración realizada para el ensayo de cuantificación de OTA por la técnica de ELISA. El análisis de regresión lineal presentó un coeficiente de regresión de R</w:t>
      </w:r>
      <w:r w:rsidR="002C3F1F" w:rsidRPr="0056244E">
        <w:rPr>
          <w:rFonts w:ascii="Arial" w:hAnsi="Arial" w:cs="Arial"/>
          <w:sz w:val="24"/>
          <w:szCs w:val="24"/>
          <w:vertAlign w:val="superscript"/>
        </w:rPr>
        <w:t>2</w:t>
      </w:r>
      <w:r w:rsidR="002C3F1F">
        <w:rPr>
          <w:rFonts w:ascii="Arial" w:hAnsi="Arial" w:cs="Arial"/>
          <w:sz w:val="24"/>
          <w:szCs w:val="24"/>
        </w:rPr>
        <w:t>= 0.9812 con un límite de detección de 5</w:t>
      </w:r>
      <w:r w:rsidR="002C3F1F" w:rsidRPr="00B620EA">
        <w:rPr>
          <w:rFonts w:ascii="Arial" w:hAnsi="Arial" w:cs="Arial"/>
          <w:sz w:val="24"/>
          <w:szCs w:val="24"/>
        </w:rPr>
        <w:t xml:space="preserve"> </w:t>
      </w:r>
      <w:r w:rsidR="002C3F1F">
        <w:rPr>
          <w:rFonts w:ascii="Arial" w:hAnsi="Arial" w:cs="Arial"/>
          <w:sz w:val="24"/>
          <w:szCs w:val="24"/>
        </w:rPr>
        <w:t>µg/Kg</w:t>
      </w:r>
      <w:r w:rsidR="008D4F7D">
        <w:rPr>
          <w:rFonts w:ascii="Arial" w:hAnsi="Arial" w:cs="Arial"/>
          <w:sz w:val="24"/>
          <w:szCs w:val="24"/>
        </w:rPr>
        <w:t xml:space="preserve"> (Figura 1)</w:t>
      </w:r>
      <w:r w:rsidR="002C3F1F">
        <w:rPr>
          <w:rFonts w:ascii="Arial" w:hAnsi="Arial" w:cs="Arial"/>
          <w:sz w:val="24"/>
          <w:szCs w:val="24"/>
        </w:rPr>
        <w:t xml:space="preserve">. </w:t>
      </w:r>
      <w:bookmarkStart w:id="0" w:name="_GoBack"/>
      <w:bookmarkEnd w:id="0"/>
    </w:p>
    <w:p w:rsidR="006B2AEB" w:rsidRPr="006B2AEB" w:rsidRDefault="006B2AEB" w:rsidP="006B2AEB">
      <w:pPr>
        <w:spacing w:line="360" w:lineRule="auto"/>
        <w:jc w:val="both"/>
        <w:rPr>
          <w:rFonts w:ascii="Arial" w:hAnsi="Arial" w:cs="Arial"/>
          <w:sz w:val="24"/>
          <w:szCs w:val="24"/>
        </w:rPr>
      </w:pPr>
    </w:p>
    <w:p w:rsidR="00C12BE0" w:rsidRPr="00C12BE0" w:rsidRDefault="00A07B2D" w:rsidP="002C3F1F">
      <w:pPr>
        <w:spacing w:line="360" w:lineRule="auto"/>
        <w:jc w:val="both"/>
        <w:rPr>
          <w:noProof/>
          <w:lang w:eastAsia="es-MX"/>
        </w:rPr>
      </w:pPr>
      <w:r>
        <w:rPr>
          <w:rFonts w:ascii="Arial" w:hAnsi="Arial" w:cs="Arial"/>
          <w:sz w:val="24"/>
          <w:szCs w:val="24"/>
        </w:rPr>
        <w:t xml:space="preserve">Se observa </w:t>
      </w:r>
      <w:r w:rsidR="002C3F1F">
        <w:rPr>
          <w:rFonts w:ascii="Arial" w:hAnsi="Arial" w:cs="Arial"/>
          <w:sz w:val="24"/>
          <w:szCs w:val="24"/>
        </w:rPr>
        <w:t>las co</w:t>
      </w:r>
      <w:r w:rsidR="00AF13FF">
        <w:rPr>
          <w:rFonts w:ascii="Arial" w:hAnsi="Arial" w:cs="Arial"/>
          <w:sz w:val="24"/>
          <w:szCs w:val="24"/>
        </w:rPr>
        <w:t>ncentraciones obtenidas en los 6</w:t>
      </w:r>
      <w:r w:rsidR="002C3F1F">
        <w:rPr>
          <w:rFonts w:ascii="Arial" w:hAnsi="Arial" w:cs="Arial"/>
          <w:sz w:val="24"/>
          <w:szCs w:val="24"/>
        </w:rPr>
        <w:t xml:space="preserve"> diferentes beneficios de café en el estado. Los valores de</w:t>
      </w:r>
      <w:r w:rsidR="00B608F0">
        <w:rPr>
          <w:rFonts w:ascii="Arial" w:hAnsi="Arial" w:cs="Arial"/>
          <w:sz w:val="24"/>
          <w:szCs w:val="24"/>
        </w:rPr>
        <w:t xml:space="preserve"> Ocratoxina A</w:t>
      </w:r>
      <w:r w:rsidR="008D4F7D">
        <w:rPr>
          <w:rFonts w:ascii="Arial" w:hAnsi="Arial" w:cs="Arial"/>
          <w:sz w:val="24"/>
          <w:szCs w:val="24"/>
        </w:rPr>
        <w:t xml:space="preserve"> están dentro de un intervalo de</w:t>
      </w:r>
      <w:r w:rsidR="00AF13FF">
        <w:rPr>
          <w:rFonts w:ascii="Arial" w:hAnsi="Arial" w:cs="Arial"/>
          <w:sz w:val="24"/>
          <w:szCs w:val="24"/>
        </w:rPr>
        <w:t xml:space="preserve"> </w:t>
      </w:r>
      <w:r w:rsidR="00AF13FF">
        <w:rPr>
          <w:rFonts w:ascii="Arial" w:hAnsi="Arial" w:cs="Arial"/>
          <w:sz w:val="24"/>
          <w:szCs w:val="24"/>
        </w:rPr>
        <w:t>15.51 µg/Kg a 351.28 µg/Kg</w:t>
      </w:r>
      <w:r w:rsidR="002C3F1F">
        <w:rPr>
          <w:rFonts w:ascii="Arial" w:hAnsi="Arial" w:cs="Arial"/>
          <w:sz w:val="24"/>
          <w:szCs w:val="24"/>
        </w:rPr>
        <w:t>. El 100% de las muestras están por arriba de los límites permisibles de OTA en café tostado y molido que es de 5 µg/Kg</w:t>
      </w:r>
      <w:r>
        <w:rPr>
          <w:rFonts w:ascii="Arial" w:hAnsi="Arial" w:cs="Arial"/>
          <w:sz w:val="24"/>
          <w:szCs w:val="24"/>
        </w:rPr>
        <w:t xml:space="preserve"> (Tabla 1)</w:t>
      </w:r>
      <w:r w:rsidR="002C3F1F">
        <w:rPr>
          <w:rFonts w:ascii="Arial" w:hAnsi="Arial" w:cs="Arial"/>
          <w:sz w:val="24"/>
          <w:szCs w:val="24"/>
        </w:rPr>
        <w:t>.</w:t>
      </w:r>
      <w:r w:rsidR="002C3F1F">
        <w:rPr>
          <w:noProof/>
          <w:lang w:eastAsia="es-MX"/>
        </w:rPr>
        <w:t xml:space="preserve"> </w:t>
      </w:r>
    </w:p>
    <w:tbl>
      <w:tblPr>
        <w:tblStyle w:val="Tablaconcuadrcula"/>
        <w:tblW w:w="0" w:type="auto"/>
        <w:tblLayout w:type="fixed"/>
        <w:tblLook w:val="04A0" w:firstRow="1" w:lastRow="0" w:firstColumn="1" w:lastColumn="0" w:noHBand="0" w:noVBand="1"/>
      </w:tblPr>
      <w:tblGrid>
        <w:gridCol w:w="1297"/>
        <w:gridCol w:w="1148"/>
        <w:gridCol w:w="1916"/>
        <w:gridCol w:w="1417"/>
        <w:gridCol w:w="1276"/>
        <w:gridCol w:w="1843"/>
      </w:tblGrid>
      <w:tr w:rsidR="00AF13FF" w:rsidTr="001B5F0A">
        <w:trPr>
          <w:trHeight w:val="456"/>
        </w:trPr>
        <w:tc>
          <w:tcPr>
            <w:tcW w:w="1297" w:type="dxa"/>
            <w:tcBorders>
              <w:left w:val="nil"/>
              <w:bottom w:val="single" w:sz="4" w:space="0" w:color="auto"/>
              <w:right w:val="nil"/>
            </w:tcBorders>
            <w:shd w:val="clear" w:color="auto" w:fill="E7E6E6" w:themeFill="background2"/>
          </w:tcPr>
          <w:p w:rsidR="00AF13FF" w:rsidRDefault="00AF13FF" w:rsidP="001B5F0A">
            <w:pPr>
              <w:spacing w:line="360" w:lineRule="auto"/>
              <w:jc w:val="center"/>
              <w:rPr>
                <w:rFonts w:ascii="Arial" w:hAnsi="Arial" w:cs="Arial"/>
                <w:sz w:val="24"/>
                <w:szCs w:val="24"/>
              </w:rPr>
            </w:pPr>
            <w:r>
              <w:rPr>
                <w:rFonts w:ascii="Arial" w:hAnsi="Arial" w:cs="Arial"/>
                <w:sz w:val="24"/>
                <w:szCs w:val="24"/>
              </w:rPr>
              <w:t>Beneficio</w:t>
            </w:r>
          </w:p>
        </w:tc>
        <w:tc>
          <w:tcPr>
            <w:tcW w:w="1148" w:type="dxa"/>
            <w:tcBorders>
              <w:left w:val="nil"/>
              <w:bottom w:val="single" w:sz="4" w:space="0" w:color="auto"/>
              <w:right w:val="nil"/>
            </w:tcBorders>
            <w:shd w:val="clear" w:color="auto" w:fill="E7E6E6" w:themeFill="background2"/>
          </w:tcPr>
          <w:p w:rsidR="00AF13FF" w:rsidRDefault="00AF13FF" w:rsidP="001B5F0A">
            <w:pPr>
              <w:spacing w:line="360" w:lineRule="auto"/>
              <w:jc w:val="center"/>
              <w:rPr>
                <w:rFonts w:ascii="Arial" w:hAnsi="Arial" w:cs="Arial"/>
                <w:sz w:val="24"/>
                <w:szCs w:val="24"/>
              </w:rPr>
            </w:pPr>
            <w:r>
              <w:rPr>
                <w:rFonts w:ascii="Arial" w:hAnsi="Arial" w:cs="Arial"/>
                <w:sz w:val="24"/>
                <w:szCs w:val="24"/>
              </w:rPr>
              <w:t>Muestra</w:t>
            </w:r>
          </w:p>
        </w:tc>
        <w:tc>
          <w:tcPr>
            <w:tcW w:w="1916" w:type="dxa"/>
            <w:tcBorders>
              <w:left w:val="nil"/>
              <w:bottom w:val="single" w:sz="4" w:space="0" w:color="auto"/>
            </w:tcBorders>
            <w:shd w:val="clear" w:color="auto" w:fill="E7E6E6" w:themeFill="background2"/>
          </w:tcPr>
          <w:p w:rsidR="00AF13FF" w:rsidRDefault="00AF13FF" w:rsidP="001B5F0A">
            <w:pPr>
              <w:spacing w:line="360" w:lineRule="auto"/>
              <w:jc w:val="center"/>
              <w:rPr>
                <w:rFonts w:ascii="Arial" w:hAnsi="Arial" w:cs="Arial"/>
                <w:sz w:val="24"/>
                <w:szCs w:val="24"/>
              </w:rPr>
            </w:pPr>
            <w:proofErr w:type="spellStart"/>
            <w:r>
              <w:rPr>
                <w:rFonts w:ascii="Arial" w:hAnsi="Arial" w:cs="Arial"/>
                <w:sz w:val="24"/>
                <w:szCs w:val="24"/>
              </w:rPr>
              <w:t>Conc</w:t>
            </w:r>
            <w:proofErr w:type="spellEnd"/>
            <w:r>
              <w:rPr>
                <w:rFonts w:ascii="Arial" w:hAnsi="Arial" w:cs="Arial"/>
                <w:sz w:val="24"/>
                <w:szCs w:val="24"/>
              </w:rPr>
              <w:t>. (µg/Kg)</w:t>
            </w:r>
          </w:p>
        </w:tc>
        <w:tc>
          <w:tcPr>
            <w:tcW w:w="1417" w:type="dxa"/>
            <w:tcBorders>
              <w:bottom w:val="single" w:sz="4" w:space="0" w:color="auto"/>
              <w:right w:val="nil"/>
            </w:tcBorders>
            <w:shd w:val="clear" w:color="auto" w:fill="E7E6E6" w:themeFill="background2"/>
          </w:tcPr>
          <w:p w:rsidR="00AF13FF" w:rsidRDefault="00AF13FF" w:rsidP="001B5F0A">
            <w:pPr>
              <w:spacing w:line="360" w:lineRule="auto"/>
              <w:jc w:val="center"/>
              <w:rPr>
                <w:rFonts w:ascii="Arial" w:hAnsi="Arial" w:cs="Arial"/>
                <w:sz w:val="24"/>
                <w:szCs w:val="24"/>
              </w:rPr>
            </w:pPr>
            <w:r>
              <w:rPr>
                <w:rFonts w:ascii="Arial" w:hAnsi="Arial" w:cs="Arial"/>
                <w:sz w:val="24"/>
                <w:szCs w:val="24"/>
              </w:rPr>
              <w:t>Beneficio</w:t>
            </w:r>
          </w:p>
        </w:tc>
        <w:tc>
          <w:tcPr>
            <w:tcW w:w="1276" w:type="dxa"/>
            <w:tcBorders>
              <w:left w:val="nil"/>
              <w:bottom w:val="single" w:sz="4" w:space="0" w:color="auto"/>
              <w:right w:val="nil"/>
            </w:tcBorders>
            <w:shd w:val="clear" w:color="auto" w:fill="E7E6E6" w:themeFill="background2"/>
          </w:tcPr>
          <w:p w:rsidR="00AF13FF" w:rsidRDefault="00AF13FF" w:rsidP="001B5F0A">
            <w:pPr>
              <w:spacing w:line="360" w:lineRule="auto"/>
              <w:jc w:val="center"/>
              <w:rPr>
                <w:rFonts w:ascii="Arial" w:hAnsi="Arial" w:cs="Arial"/>
                <w:sz w:val="24"/>
                <w:szCs w:val="24"/>
              </w:rPr>
            </w:pPr>
            <w:r>
              <w:rPr>
                <w:rFonts w:ascii="Arial" w:hAnsi="Arial" w:cs="Arial"/>
                <w:sz w:val="24"/>
                <w:szCs w:val="24"/>
              </w:rPr>
              <w:t>Muestra</w:t>
            </w:r>
          </w:p>
        </w:tc>
        <w:tc>
          <w:tcPr>
            <w:tcW w:w="1843" w:type="dxa"/>
            <w:tcBorders>
              <w:left w:val="nil"/>
              <w:bottom w:val="single" w:sz="4" w:space="0" w:color="auto"/>
              <w:right w:val="nil"/>
            </w:tcBorders>
            <w:shd w:val="clear" w:color="auto" w:fill="E7E6E6" w:themeFill="background2"/>
          </w:tcPr>
          <w:p w:rsidR="00AF13FF" w:rsidRDefault="00AF13FF" w:rsidP="001B5F0A">
            <w:pPr>
              <w:spacing w:line="360" w:lineRule="auto"/>
              <w:jc w:val="center"/>
              <w:rPr>
                <w:rFonts w:ascii="Arial" w:hAnsi="Arial" w:cs="Arial"/>
                <w:sz w:val="24"/>
                <w:szCs w:val="24"/>
              </w:rPr>
            </w:pPr>
            <w:proofErr w:type="spellStart"/>
            <w:r>
              <w:rPr>
                <w:rFonts w:ascii="Arial" w:hAnsi="Arial" w:cs="Arial"/>
                <w:sz w:val="24"/>
                <w:szCs w:val="24"/>
              </w:rPr>
              <w:t>Conc</w:t>
            </w:r>
            <w:proofErr w:type="spellEnd"/>
            <w:r>
              <w:rPr>
                <w:rFonts w:ascii="Arial" w:hAnsi="Arial" w:cs="Arial"/>
                <w:sz w:val="24"/>
                <w:szCs w:val="24"/>
              </w:rPr>
              <w:t>. (µg/Kg)</w:t>
            </w:r>
          </w:p>
        </w:tc>
      </w:tr>
      <w:tr w:rsidR="00AF13FF" w:rsidTr="001B5F0A">
        <w:trPr>
          <w:trHeight w:val="366"/>
        </w:trPr>
        <w:tc>
          <w:tcPr>
            <w:tcW w:w="1297" w:type="dxa"/>
            <w:vMerge w:val="restart"/>
            <w:tcBorders>
              <w:left w:val="nil"/>
              <w:right w:val="nil"/>
            </w:tcBorders>
            <w:vAlign w:val="center"/>
          </w:tcPr>
          <w:p w:rsidR="00AF13FF" w:rsidRPr="00C12BE0" w:rsidRDefault="00AF13FF" w:rsidP="001B5F0A">
            <w:pPr>
              <w:spacing w:line="360" w:lineRule="auto"/>
              <w:jc w:val="center"/>
              <w:rPr>
                <w:rFonts w:ascii="Arial" w:hAnsi="Arial" w:cs="Arial"/>
                <w:sz w:val="24"/>
                <w:szCs w:val="24"/>
              </w:rPr>
            </w:pPr>
            <w:r w:rsidRPr="00C12BE0">
              <w:rPr>
                <w:rFonts w:ascii="Arial" w:hAnsi="Arial" w:cs="Arial"/>
                <w:sz w:val="24"/>
                <w:szCs w:val="24"/>
              </w:rPr>
              <w:t>A</w:t>
            </w:r>
            <w:r>
              <w:rPr>
                <w:rFonts w:ascii="Arial" w:hAnsi="Arial" w:cs="Arial"/>
                <w:sz w:val="24"/>
                <w:szCs w:val="24"/>
              </w:rPr>
              <w:t xml:space="preserve"> </w:t>
            </w:r>
          </w:p>
        </w:tc>
        <w:tc>
          <w:tcPr>
            <w:tcW w:w="1148" w:type="dxa"/>
            <w:tcBorders>
              <w:left w:val="nil"/>
              <w:bottom w:val="nil"/>
              <w:right w:val="nil"/>
            </w:tcBorders>
          </w:tcPr>
          <w:p w:rsidR="00AF13FF" w:rsidRDefault="00AF13FF" w:rsidP="001B5F0A">
            <w:pPr>
              <w:spacing w:line="360" w:lineRule="auto"/>
              <w:jc w:val="center"/>
              <w:rPr>
                <w:rFonts w:ascii="Arial" w:hAnsi="Arial" w:cs="Arial"/>
                <w:sz w:val="24"/>
                <w:szCs w:val="24"/>
              </w:rPr>
            </w:pPr>
            <w:r>
              <w:rPr>
                <w:rFonts w:ascii="Arial" w:hAnsi="Arial" w:cs="Arial"/>
                <w:sz w:val="24"/>
                <w:szCs w:val="24"/>
              </w:rPr>
              <w:t>1</w:t>
            </w:r>
          </w:p>
        </w:tc>
        <w:tc>
          <w:tcPr>
            <w:tcW w:w="1916" w:type="dxa"/>
            <w:tcBorders>
              <w:left w:val="nil"/>
              <w:bottom w:val="nil"/>
            </w:tcBorders>
          </w:tcPr>
          <w:p w:rsidR="00AF13FF" w:rsidRDefault="00AF13FF" w:rsidP="001B5F0A">
            <w:pPr>
              <w:spacing w:line="360" w:lineRule="auto"/>
              <w:jc w:val="center"/>
              <w:rPr>
                <w:rFonts w:ascii="Arial" w:hAnsi="Arial" w:cs="Arial"/>
                <w:sz w:val="24"/>
                <w:szCs w:val="24"/>
              </w:rPr>
            </w:pPr>
            <w:r>
              <w:rPr>
                <w:rFonts w:ascii="Arial" w:hAnsi="Arial" w:cs="Arial"/>
                <w:sz w:val="24"/>
                <w:szCs w:val="24"/>
              </w:rPr>
              <w:t>93.73</w:t>
            </w:r>
          </w:p>
        </w:tc>
        <w:tc>
          <w:tcPr>
            <w:tcW w:w="1417" w:type="dxa"/>
            <w:vMerge w:val="restart"/>
            <w:tcBorders>
              <w:right w:val="nil"/>
            </w:tcBorders>
            <w:vAlign w:val="center"/>
          </w:tcPr>
          <w:p w:rsidR="00AF13FF" w:rsidRPr="008D4F7D" w:rsidRDefault="00AF13FF" w:rsidP="001B5F0A">
            <w:pPr>
              <w:spacing w:line="360" w:lineRule="auto"/>
              <w:jc w:val="center"/>
              <w:rPr>
                <w:rFonts w:ascii="Arial" w:hAnsi="Arial" w:cs="Arial"/>
                <w:sz w:val="24"/>
                <w:szCs w:val="24"/>
              </w:rPr>
            </w:pPr>
            <w:r w:rsidRPr="008D4F7D">
              <w:rPr>
                <w:rFonts w:ascii="Arial" w:hAnsi="Arial" w:cs="Arial"/>
                <w:sz w:val="24"/>
                <w:szCs w:val="24"/>
              </w:rPr>
              <w:t>E</w:t>
            </w:r>
          </w:p>
        </w:tc>
        <w:tc>
          <w:tcPr>
            <w:tcW w:w="1276" w:type="dxa"/>
            <w:tcBorders>
              <w:left w:val="nil"/>
              <w:bottom w:val="nil"/>
              <w:right w:val="nil"/>
            </w:tcBorders>
          </w:tcPr>
          <w:p w:rsidR="00AF13FF" w:rsidRDefault="00AF13FF" w:rsidP="001B5F0A">
            <w:pPr>
              <w:spacing w:line="360" w:lineRule="auto"/>
              <w:jc w:val="center"/>
              <w:rPr>
                <w:rFonts w:ascii="Arial" w:hAnsi="Arial" w:cs="Arial"/>
                <w:sz w:val="24"/>
                <w:szCs w:val="24"/>
              </w:rPr>
            </w:pPr>
            <w:r>
              <w:rPr>
                <w:rFonts w:ascii="Arial" w:hAnsi="Arial" w:cs="Arial"/>
                <w:sz w:val="24"/>
                <w:szCs w:val="24"/>
              </w:rPr>
              <w:t>10</w:t>
            </w:r>
          </w:p>
        </w:tc>
        <w:tc>
          <w:tcPr>
            <w:tcW w:w="1843" w:type="dxa"/>
            <w:tcBorders>
              <w:left w:val="nil"/>
              <w:bottom w:val="nil"/>
              <w:right w:val="nil"/>
            </w:tcBorders>
          </w:tcPr>
          <w:p w:rsidR="00AF13FF" w:rsidRDefault="00AF13FF" w:rsidP="001B5F0A">
            <w:pPr>
              <w:spacing w:line="360" w:lineRule="auto"/>
              <w:jc w:val="center"/>
              <w:rPr>
                <w:rFonts w:ascii="Arial" w:hAnsi="Arial" w:cs="Arial"/>
                <w:sz w:val="24"/>
                <w:szCs w:val="24"/>
              </w:rPr>
            </w:pPr>
            <w:r>
              <w:rPr>
                <w:rFonts w:ascii="Arial" w:hAnsi="Arial" w:cs="Arial"/>
                <w:sz w:val="24"/>
                <w:szCs w:val="24"/>
              </w:rPr>
              <w:t>351.28</w:t>
            </w:r>
          </w:p>
        </w:tc>
      </w:tr>
      <w:tr w:rsidR="00AF13FF" w:rsidTr="001B5F0A">
        <w:trPr>
          <w:trHeight w:val="123"/>
        </w:trPr>
        <w:tc>
          <w:tcPr>
            <w:tcW w:w="1297" w:type="dxa"/>
            <w:vMerge/>
            <w:tcBorders>
              <w:left w:val="nil"/>
              <w:right w:val="nil"/>
            </w:tcBorders>
          </w:tcPr>
          <w:p w:rsidR="00AF13FF" w:rsidRDefault="00AF13FF" w:rsidP="001B5F0A">
            <w:pPr>
              <w:spacing w:line="360" w:lineRule="auto"/>
              <w:jc w:val="center"/>
              <w:rPr>
                <w:rFonts w:ascii="Arial" w:hAnsi="Arial" w:cs="Arial"/>
                <w:sz w:val="24"/>
                <w:szCs w:val="24"/>
              </w:rPr>
            </w:pPr>
          </w:p>
        </w:tc>
        <w:tc>
          <w:tcPr>
            <w:tcW w:w="1148" w:type="dxa"/>
            <w:tcBorders>
              <w:top w:val="nil"/>
              <w:left w:val="nil"/>
              <w:bottom w:val="nil"/>
              <w:right w:val="nil"/>
            </w:tcBorders>
          </w:tcPr>
          <w:p w:rsidR="00AF13FF" w:rsidRDefault="00AF13FF" w:rsidP="001B5F0A">
            <w:pPr>
              <w:spacing w:line="360" w:lineRule="auto"/>
              <w:jc w:val="center"/>
              <w:rPr>
                <w:rFonts w:ascii="Arial" w:hAnsi="Arial" w:cs="Arial"/>
                <w:sz w:val="24"/>
                <w:szCs w:val="24"/>
              </w:rPr>
            </w:pPr>
            <w:r>
              <w:rPr>
                <w:rFonts w:ascii="Arial" w:hAnsi="Arial" w:cs="Arial"/>
                <w:sz w:val="24"/>
                <w:szCs w:val="24"/>
              </w:rPr>
              <w:t>2</w:t>
            </w:r>
          </w:p>
        </w:tc>
        <w:tc>
          <w:tcPr>
            <w:tcW w:w="1916" w:type="dxa"/>
            <w:tcBorders>
              <w:top w:val="nil"/>
              <w:left w:val="nil"/>
              <w:bottom w:val="nil"/>
            </w:tcBorders>
          </w:tcPr>
          <w:p w:rsidR="00AF13FF" w:rsidRDefault="00AF13FF" w:rsidP="001B5F0A">
            <w:pPr>
              <w:spacing w:line="360" w:lineRule="auto"/>
              <w:jc w:val="center"/>
              <w:rPr>
                <w:rFonts w:ascii="Arial" w:hAnsi="Arial" w:cs="Arial"/>
                <w:sz w:val="24"/>
                <w:szCs w:val="24"/>
              </w:rPr>
            </w:pPr>
            <w:r>
              <w:rPr>
                <w:rFonts w:ascii="Arial" w:hAnsi="Arial" w:cs="Arial"/>
                <w:sz w:val="24"/>
                <w:szCs w:val="24"/>
              </w:rPr>
              <w:t>65.35</w:t>
            </w:r>
          </w:p>
        </w:tc>
        <w:tc>
          <w:tcPr>
            <w:tcW w:w="1417" w:type="dxa"/>
            <w:vMerge/>
            <w:tcBorders>
              <w:right w:val="nil"/>
            </w:tcBorders>
          </w:tcPr>
          <w:p w:rsidR="00AF13FF" w:rsidRDefault="00AF13FF" w:rsidP="001B5F0A">
            <w:pPr>
              <w:spacing w:line="360" w:lineRule="auto"/>
              <w:jc w:val="center"/>
              <w:rPr>
                <w:rFonts w:ascii="Arial" w:hAnsi="Arial" w:cs="Arial"/>
                <w:sz w:val="24"/>
                <w:szCs w:val="24"/>
              </w:rPr>
            </w:pPr>
          </w:p>
        </w:tc>
        <w:tc>
          <w:tcPr>
            <w:tcW w:w="1276" w:type="dxa"/>
            <w:tcBorders>
              <w:top w:val="nil"/>
              <w:left w:val="nil"/>
              <w:bottom w:val="nil"/>
              <w:right w:val="nil"/>
            </w:tcBorders>
          </w:tcPr>
          <w:p w:rsidR="00AF13FF" w:rsidRDefault="00AF13FF" w:rsidP="001B5F0A">
            <w:pPr>
              <w:spacing w:line="360" w:lineRule="auto"/>
              <w:jc w:val="center"/>
              <w:rPr>
                <w:rFonts w:ascii="Arial" w:hAnsi="Arial" w:cs="Arial"/>
                <w:sz w:val="24"/>
                <w:szCs w:val="24"/>
              </w:rPr>
            </w:pPr>
            <w:r>
              <w:rPr>
                <w:rFonts w:ascii="Arial" w:hAnsi="Arial" w:cs="Arial"/>
                <w:sz w:val="24"/>
                <w:szCs w:val="24"/>
              </w:rPr>
              <w:t>11</w:t>
            </w:r>
          </w:p>
        </w:tc>
        <w:tc>
          <w:tcPr>
            <w:tcW w:w="1843" w:type="dxa"/>
            <w:tcBorders>
              <w:top w:val="nil"/>
              <w:left w:val="nil"/>
              <w:bottom w:val="nil"/>
              <w:right w:val="nil"/>
            </w:tcBorders>
          </w:tcPr>
          <w:p w:rsidR="00AF13FF" w:rsidRDefault="00AF13FF" w:rsidP="001B5F0A">
            <w:pPr>
              <w:spacing w:line="360" w:lineRule="auto"/>
              <w:jc w:val="center"/>
              <w:rPr>
                <w:rFonts w:ascii="Arial" w:hAnsi="Arial" w:cs="Arial"/>
                <w:sz w:val="24"/>
                <w:szCs w:val="24"/>
              </w:rPr>
            </w:pPr>
            <w:r>
              <w:rPr>
                <w:rFonts w:ascii="Arial" w:hAnsi="Arial" w:cs="Arial"/>
                <w:sz w:val="24"/>
                <w:szCs w:val="24"/>
              </w:rPr>
              <w:t>23.56</w:t>
            </w:r>
          </w:p>
        </w:tc>
      </w:tr>
      <w:tr w:rsidR="00AF13FF" w:rsidTr="001B5F0A">
        <w:trPr>
          <w:trHeight w:val="123"/>
        </w:trPr>
        <w:tc>
          <w:tcPr>
            <w:tcW w:w="1297" w:type="dxa"/>
            <w:vMerge/>
            <w:tcBorders>
              <w:left w:val="nil"/>
              <w:bottom w:val="single" w:sz="4" w:space="0" w:color="auto"/>
              <w:right w:val="nil"/>
            </w:tcBorders>
          </w:tcPr>
          <w:p w:rsidR="00AF13FF" w:rsidRDefault="00AF13FF" w:rsidP="001B5F0A">
            <w:pPr>
              <w:spacing w:line="360" w:lineRule="auto"/>
              <w:jc w:val="center"/>
              <w:rPr>
                <w:rFonts w:ascii="Arial" w:hAnsi="Arial" w:cs="Arial"/>
                <w:sz w:val="24"/>
                <w:szCs w:val="24"/>
              </w:rPr>
            </w:pPr>
          </w:p>
        </w:tc>
        <w:tc>
          <w:tcPr>
            <w:tcW w:w="1148" w:type="dxa"/>
            <w:tcBorders>
              <w:top w:val="nil"/>
              <w:left w:val="nil"/>
              <w:bottom w:val="single" w:sz="4" w:space="0" w:color="auto"/>
              <w:right w:val="nil"/>
            </w:tcBorders>
          </w:tcPr>
          <w:p w:rsidR="00AF13FF" w:rsidRDefault="00AF13FF" w:rsidP="001B5F0A">
            <w:pPr>
              <w:spacing w:line="360" w:lineRule="auto"/>
              <w:jc w:val="center"/>
              <w:rPr>
                <w:rFonts w:ascii="Arial" w:hAnsi="Arial" w:cs="Arial"/>
                <w:sz w:val="24"/>
                <w:szCs w:val="24"/>
              </w:rPr>
            </w:pPr>
            <w:r>
              <w:rPr>
                <w:rFonts w:ascii="Arial" w:hAnsi="Arial" w:cs="Arial"/>
                <w:sz w:val="24"/>
                <w:szCs w:val="24"/>
              </w:rPr>
              <w:t>3</w:t>
            </w:r>
          </w:p>
        </w:tc>
        <w:tc>
          <w:tcPr>
            <w:tcW w:w="1916" w:type="dxa"/>
            <w:tcBorders>
              <w:top w:val="nil"/>
              <w:left w:val="nil"/>
              <w:bottom w:val="single" w:sz="4" w:space="0" w:color="auto"/>
            </w:tcBorders>
          </w:tcPr>
          <w:p w:rsidR="00AF13FF" w:rsidRDefault="00AF13FF" w:rsidP="001B5F0A">
            <w:pPr>
              <w:spacing w:line="360" w:lineRule="auto"/>
              <w:jc w:val="center"/>
              <w:rPr>
                <w:rFonts w:ascii="Arial" w:hAnsi="Arial" w:cs="Arial"/>
                <w:sz w:val="24"/>
                <w:szCs w:val="24"/>
              </w:rPr>
            </w:pPr>
            <w:r>
              <w:rPr>
                <w:rFonts w:ascii="Arial" w:hAnsi="Arial" w:cs="Arial"/>
                <w:sz w:val="24"/>
                <w:szCs w:val="24"/>
              </w:rPr>
              <w:t>89.83</w:t>
            </w:r>
          </w:p>
        </w:tc>
        <w:tc>
          <w:tcPr>
            <w:tcW w:w="1417" w:type="dxa"/>
            <w:vMerge/>
            <w:tcBorders>
              <w:bottom w:val="single" w:sz="4" w:space="0" w:color="auto"/>
              <w:right w:val="nil"/>
            </w:tcBorders>
          </w:tcPr>
          <w:p w:rsidR="00AF13FF" w:rsidRDefault="00AF13FF" w:rsidP="001B5F0A">
            <w:pPr>
              <w:spacing w:line="360" w:lineRule="auto"/>
              <w:jc w:val="center"/>
              <w:rPr>
                <w:rFonts w:ascii="Arial" w:hAnsi="Arial" w:cs="Arial"/>
                <w:sz w:val="24"/>
                <w:szCs w:val="24"/>
              </w:rPr>
            </w:pPr>
          </w:p>
        </w:tc>
        <w:tc>
          <w:tcPr>
            <w:tcW w:w="1276" w:type="dxa"/>
            <w:tcBorders>
              <w:top w:val="nil"/>
              <w:left w:val="nil"/>
              <w:bottom w:val="single" w:sz="4" w:space="0" w:color="auto"/>
              <w:right w:val="nil"/>
            </w:tcBorders>
          </w:tcPr>
          <w:p w:rsidR="00AF13FF" w:rsidRDefault="00AF13FF" w:rsidP="001B5F0A">
            <w:pPr>
              <w:spacing w:line="360" w:lineRule="auto"/>
              <w:jc w:val="center"/>
              <w:rPr>
                <w:rFonts w:ascii="Arial" w:hAnsi="Arial" w:cs="Arial"/>
                <w:sz w:val="24"/>
                <w:szCs w:val="24"/>
              </w:rPr>
            </w:pPr>
            <w:r>
              <w:rPr>
                <w:rFonts w:ascii="Arial" w:hAnsi="Arial" w:cs="Arial"/>
                <w:sz w:val="24"/>
                <w:szCs w:val="24"/>
              </w:rPr>
              <w:t>12</w:t>
            </w:r>
          </w:p>
        </w:tc>
        <w:tc>
          <w:tcPr>
            <w:tcW w:w="1843" w:type="dxa"/>
            <w:tcBorders>
              <w:top w:val="nil"/>
              <w:left w:val="nil"/>
              <w:bottom w:val="single" w:sz="4" w:space="0" w:color="auto"/>
              <w:right w:val="nil"/>
            </w:tcBorders>
          </w:tcPr>
          <w:p w:rsidR="00AF13FF" w:rsidRDefault="00AF13FF" w:rsidP="001B5F0A">
            <w:pPr>
              <w:spacing w:line="360" w:lineRule="auto"/>
              <w:jc w:val="center"/>
              <w:rPr>
                <w:rFonts w:ascii="Arial" w:hAnsi="Arial" w:cs="Arial"/>
                <w:sz w:val="24"/>
                <w:szCs w:val="24"/>
              </w:rPr>
            </w:pPr>
            <w:r>
              <w:rPr>
                <w:rFonts w:ascii="Arial" w:hAnsi="Arial" w:cs="Arial"/>
                <w:sz w:val="24"/>
                <w:szCs w:val="24"/>
              </w:rPr>
              <w:t>109.25</w:t>
            </w:r>
          </w:p>
        </w:tc>
      </w:tr>
      <w:tr w:rsidR="00AF13FF" w:rsidTr="001B5F0A">
        <w:trPr>
          <w:trHeight w:val="355"/>
        </w:trPr>
        <w:tc>
          <w:tcPr>
            <w:tcW w:w="1297" w:type="dxa"/>
            <w:vMerge w:val="restart"/>
            <w:tcBorders>
              <w:left w:val="nil"/>
              <w:right w:val="nil"/>
            </w:tcBorders>
            <w:vAlign w:val="center"/>
          </w:tcPr>
          <w:p w:rsidR="00AF13FF" w:rsidRPr="00C12BE0" w:rsidRDefault="00AF13FF" w:rsidP="001B5F0A">
            <w:pPr>
              <w:spacing w:line="360" w:lineRule="auto"/>
              <w:jc w:val="center"/>
              <w:rPr>
                <w:rFonts w:ascii="Arial" w:hAnsi="Arial" w:cs="Arial"/>
                <w:sz w:val="24"/>
                <w:szCs w:val="24"/>
              </w:rPr>
            </w:pPr>
            <w:r w:rsidRPr="00C12BE0">
              <w:rPr>
                <w:rFonts w:ascii="Arial" w:hAnsi="Arial" w:cs="Arial"/>
                <w:sz w:val="24"/>
                <w:szCs w:val="24"/>
              </w:rPr>
              <w:t>B</w:t>
            </w:r>
          </w:p>
        </w:tc>
        <w:tc>
          <w:tcPr>
            <w:tcW w:w="1148" w:type="dxa"/>
            <w:tcBorders>
              <w:left w:val="nil"/>
              <w:bottom w:val="nil"/>
              <w:right w:val="nil"/>
            </w:tcBorders>
          </w:tcPr>
          <w:p w:rsidR="00AF13FF" w:rsidRDefault="00AF13FF" w:rsidP="001B5F0A">
            <w:pPr>
              <w:spacing w:line="360" w:lineRule="auto"/>
              <w:jc w:val="center"/>
              <w:rPr>
                <w:rFonts w:ascii="Arial" w:hAnsi="Arial" w:cs="Arial"/>
                <w:sz w:val="24"/>
                <w:szCs w:val="24"/>
              </w:rPr>
            </w:pPr>
            <w:r>
              <w:rPr>
                <w:rFonts w:ascii="Arial" w:hAnsi="Arial" w:cs="Arial"/>
                <w:sz w:val="24"/>
                <w:szCs w:val="24"/>
              </w:rPr>
              <w:t>4</w:t>
            </w:r>
          </w:p>
        </w:tc>
        <w:tc>
          <w:tcPr>
            <w:tcW w:w="1916" w:type="dxa"/>
            <w:tcBorders>
              <w:left w:val="nil"/>
              <w:bottom w:val="nil"/>
            </w:tcBorders>
          </w:tcPr>
          <w:p w:rsidR="00AF13FF" w:rsidRDefault="00AF13FF" w:rsidP="001B5F0A">
            <w:pPr>
              <w:spacing w:line="360" w:lineRule="auto"/>
              <w:jc w:val="center"/>
              <w:rPr>
                <w:rFonts w:ascii="Arial" w:hAnsi="Arial" w:cs="Arial"/>
                <w:sz w:val="24"/>
                <w:szCs w:val="24"/>
              </w:rPr>
            </w:pPr>
            <w:r>
              <w:rPr>
                <w:rFonts w:ascii="Arial" w:hAnsi="Arial" w:cs="Arial"/>
                <w:sz w:val="24"/>
                <w:szCs w:val="24"/>
              </w:rPr>
              <w:t>62.66</w:t>
            </w:r>
          </w:p>
        </w:tc>
        <w:tc>
          <w:tcPr>
            <w:tcW w:w="1417" w:type="dxa"/>
            <w:vMerge w:val="restart"/>
            <w:tcBorders>
              <w:right w:val="nil"/>
            </w:tcBorders>
            <w:vAlign w:val="center"/>
          </w:tcPr>
          <w:p w:rsidR="00AF13FF" w:rsidRDefault="00AF13FF" w:rsidP="001B5F0A">
            <w:pPr>
              <w:spacing w:line="360" w:lineRule="auto"/>
              <w:jc w:val="center"/>
              <w:rPr>
                <w:rFonts w:ascii="Arial" w:hAnsi="Arial" w:cs="Arial"/>
                <w:sz w:val="24"/>
                <w:szCs w:val="24"/>
              </w:rPr>
            </w:pPr>
            <w:r>
              <w:rPr>
                <w:rFonts w:ascii="Arial" w:hAnsi="Arial" w:cs="Arial"/>
                <w:sz w:val="24"/>
                <w:szCs w:val="24"/>
              </w:rPr>
              <w:t>F</w:t>
            </w:r>
          </w:p>
        </w:tc>
        <w:tc>
          <w:tcPr>
            <w:tcW w:w="1276" w:type="dxa"/>
            <w:tcBorders>
              <w:left w:val="nil"/>
              <w:bottom w:val="nil"/>
              <w:right w:val="nil"/>
            </w:tcBorders>
          </w:tcPr>
          <w:p w:rsidR="00AF13FF" w:rsidRDefault="00AF13FF" w:rsidP="001B5F0A">
            <w:pPr>
              <w:spacing w:line="360" w:lineRule="auto"/>
              <w:jc w:val="center"/>
              <w:rPr>
                <w:rFonts w:ascii="Arial" w:hAnsi="Arial" w:cs="Arial"/>
                <w:sz w:val="24"/>
                <w:szCs w:val="24"/>
              </w:rPr>
            </w:pPr>
            <w:r>
              <w:rPr>
                <w:rFonts w:ascii="Arial" w:hAnsi="Arial" w:cs="Arial"/>
                <w:sz w:val="24"/>
                <w:szCs w:val="24"/>
              </w:rPr>
              <w:t>13</w:t>
            </w:r>
          </w:p>
        </w:tc>
        <w:tc>
          <w:tcPr>
            <w:tcW w:w="1843" w:type="dxa"/>
            <w:tcBorders>
              <w:left w:val="nil"/>
              <w:bottom w:val="nil"/>
              <w:right w:val="nil"/>
            </w:tcBorders>
          </w:tcPr>
          <w:p w:rsidR="00AF13FF" w:rsidRDefault="00AF13FF" w:rsidP="001B5F0A">
            <w:pPr>
              <w:spacing w:line="360" w:lineRule="auto"/>
              <w:jc w:val="center"/>
              <w:rPr>
                <w:rFonts w:ascii="Arial" w:hAnsi="Arial" w:cs="Arial"/>
                <w:sz w:val="24"/>
                <w:szCs w:val="24"/>
              </w:rPr>
            </w:pPr>
            <w:r>
              <w:rPr>
                <w:rFonts w:ascii="Arial" w:hAnsi="Arial" w:cs="Arial"/>
                <w:sz w:val="24"/>
                <w:szCs w:val="24"/>
              </w:rPr>
              <w:t>108.68</w:t>
            </w:r>
          </w:p>
        </w:tc>
      </w:tr>
      <w:tr w:rsidR="00AF13FF" w:rsidTr="001B5F0A">
        <w:trPr>
          <w:trHeight w:val="123"/>
        </w:trPr>
        <w:tc>
          <w:tcPr>
            <w:tcW w:w="1297" w:type="dxa"/>
            <w:vMerge/>
            <w:tcBorders>
              <w:left w:val="nil"/>
              <w:right w:val="nil"/>
            </w:tcBorders>
          </w:tcPr>
          <w:p w:rsidR="00AF13FF" w:rsidRDefault="00AF13FF" w:rsidP="001B5F0A">
            <w:pPr>
              <w:spacing w:line="360" w:lineRule="auto"/>
              <w:jc w:val="center"/>
              <w:rPr>
                <w:rFonts w:ascii="Arial" w:hAnsi="Arial" w:cs="Arial"/>
                <w:sz w:val="24"/>
                <w:szCs w:val="24"/>
              </w:rPr>
            </w:pPr>
          </w:p>
        </w:tc>
        <w:tc>
          <w:tcPr>
            <w:tcW w:w="1148" w:type="dxa"/>
            <w:tcBorders>
              <w:top w:val="nil"/>
              <w:left w:val="nil"/>
              <w:bottom w:val="nil"/>
              <w:right w:val="nil"/>
            </w:tcBorders>
          </w:tcPr>
          <w:p w:rsidR="00AF13FF" w:rsidRDefault="00AF13FF" w:rsidP="001B5F0A">
            <w:pPr>
              <w:spacing w:line="360" w:lineRule="auto"/>
              <w:jc w:val="center"/>
              <w:rPr>
                <w:rFonts w:ascii="Arial" w:hAnsi="Arial" w:cs="Arial"/>
                <w:sz w:val="24"/>
                <w:szCs w:val="24"/>
              </w:rPr>
            </w:pPr>
            <w:r>
              <w:rPr>
                <w:rFonts w:ascii="Arial" w:hAnsi="Arial" w:cs="Arial"/>
                <w:sz w:val="24"/>
                <w:szCs w:val="24"/>
              </w:rPr>
              <w:t>5</w:t>
            </w:r>
          </w:p>
        </w:tc>
        <w:tc>
          <w:tcPr>
            <w:tcW w:w="1916" w:type="dxa"/>
            <w:tcBorders>
              <w:top w:val="nil"/>
              <w:left w:val="nil"/>
              <w:bottom w:val="nil"/>
            </w:tcBorders>
          </w:tcPr>
          <w:p w:rsidR="00AF13FF" w:rsidRDefault="00AF13FF" w:rsidP="001B5F0A">
            <w:pPr>
              <w:spacing w:line="360" w:lineRule="auto"/>
              <w:jc w:val="center"/>
              <w:rPr>
                <w:rFonts w:ascii="Arial" w:hAnsi="Arial" w:cs="Arial"/>
                <w:sz w:val="24"/>
                <w:szCs w:val="24"/>
              </w:rPr>
            </w:pPr>
            <w:r>
              <w:rPr>
                <w:rFonts w:ascii="Arial" w:hAnsi="Arial" w:cs="Arial"/>
                <w:sz w:val="24"/>
                <w:szCs w:val="24"/>
              </w:rPr>
              <w:t>64.14</w:t>
            </w:r>
          </w:p>
        </w:tc>
        <w:tc>
          <w:tcPr>
            <w:tcW w:w="1417" w:type="dxa"/>
            <w:vMerge/>
            <w:tcBorders>
              <w:right w:val="nil"/>
            </w:tcBorders>
          </w:tcPr>
          <w:p w:rsidR="00AF13FF" w:rsidRDefault="00AF13FF" w:rsidP="001B5F0A">
            <w:pPr>
              <w:spacing w:line="360" w:lineRule="auto"/>
              <w:jc w:val="center"/>
              <w:rPr>
                <w:rFonts w:ascii="Arial" w:hAnsi="Arial" w:cs="Arial"/>
                <w:sz w:val="24"/>
                <w:szCs w:val="24"/>
              </w:rPr>
            </w:pPr>
          </w:p>
        </w:tc>
        <w:tc>
          <w:tcPr>
            <w:tcW w:w="1276" w:type="dxa"/>
            <w:tcBorders>
              <w:top w:val="nil"/>
              <w:left w:val="nil"/>
              <w:bottom w:val="nil"/>
              <w:right w:val="nil"/>
            </w:tcBorders>
          </w:tcPr>
          <w:p w:rsidR="00AF13FF" w:rsidRDefault="00AF13FF" w:rsidP="001B5F0A">
            <w:pPr>
              <w:spacing w:line="360" w:lineRule="auto"/>
              <w:jc w:val="center"/>
              <w:rPr>
                <w:rFonts w:ascii="Arial" w:hAnsi="Arial" w:cs="Arial"/>
                <w:sz w:val="24"/>
                <w:szCs w:val="24"/>
              </w:rPr>
            </w:pPr>
            <w:r>
              <w:rPr>
                <w:rFonts w:ascii="Arial" w:hAnsi="Arial" w:cs="Arial"/>
                <w:sz w:val="24"/>
                <w:szCs w:val="24"/>
              </w:rPr>
              <w:t>14</w:t>
            </w:r>
          </w:p>
        </w:tc>
        <w:tc>
          <w:tcPr>
            <w:tcW w:w="1843" w:type="dxa"/>
            <w:tcBorders>
              <w:top w:val="nil"/>
              <w:left w:val="nil"/>
              <w:bottom w:val="nil"/>
              <w:right w:val="nil"/>
            </w:tcBorders>
          </w:tcPr>
          <w:p w:rsidR="00AF13FF" w:rsidRDefault="00AF13FF" w:rsidP="001B5F0A">
            <w:pPr>
              <w:spacing w:line="360" w:lineRule="auto"/>
              <w:jc w:val="center"/>
              <w:rPr>
                <w:rFonts w:ascii="Arial" w:hAnsi="Arial" w:cs="Arial"/>
                <w:sz w:val="24"/>
                <w:szCs w:val="24"/>
              </w:rPr>
            </w:pPr>
            <w:r>
              <w:rPr>
                <w:rFonts w:ascii="Arial" w:hAnsi="Arial" w:cs="Arial"/>
                <w:sz w:val="24"/>
                <w:szCs w:val="24"/>
              </w:rPr>
              <w:t>116.49</w:t>
            </w:r>
          </w:p>
        </w:tc>
      </w:tr>
      <w:tr w:rsidR="00AF13FF" w:rsidTr="001B5F0A">
        <w:trPr>
          <w:trHeight w:val="123"/>
        </w:trPr>
        <w:tc>
          <w:tcPr>
            <w:tcW w:w="1297" w:type="dxa"/>
            <w:vMerge/>
            <w:tcBorders>
              <w:left w:val="nil"/>
              <w:bottom w:val="single" w:sz="4" w:space="0" w:color="auto"/>
              <w:right w:val="nil"/>
            </w:tcBorders>
          </w:tcPr>
          <w:p w:rsidR="00AF13FF" w:rsidRDefault="00AF13FF" w:rsidP="001B5F0A">
            <w:pPr>
              <w:spacing w:line="360" w:lineRule="auto"/>
              <w:jc w:val="center"/>
              <w:rPr>
                <w:rFonts w:ascii="Arial" w:hAnsi="Arial" w:cs="Arial"/>
                <w:sz w:val="24"/>
                <w:szCs w:val="24"/>
              </w:rPr>
            </w:pPr>
          </w:p>
        </w:tc>
        <w:tc>
          <w:tcPr>
            <w:tcW w:w="1148" w:type="dxa"/>
            <w:tcBorders>
              <w:top w:val="nil"/>
              <w:left w:val="nil"/>
              <w:bottom w:val="single" w:sz="4" w:space="0" w:color="auto"/>
              <w:right w:val="nil"/>
            </w:tcBorders>
          </w:tcPr>
          <w:p w:rsidR="00AF13FF" w:rsidRDefault="00AF13FF" w:rsidP="001B5F0A">
            <w:pPr>
              <w:spacing w:line="360" w:lineRule="auto"/>
              <w:jc w:val="center"/>
              <w:rPr>
                <w:rFonts w:ascii="Arial" w:hAnsi="Arial" w:cs="Arial"/>
                <w:sz w:val="24"/>
                <w:szCs w:val="24"/>
              </w:rPr>
            </w:pPr>
            <w:r>
              <w:rPr>
                <w:rFonts w:ascii="Arial" w:hAnsi="Arial" w:cs="Arial"/>
                <w:sz w:val="24"/>
                <w:szCs w:val="24"/>
              </w:rPr>
              <w:t>6</w:t>
            </w:r>
          </w:p>
        </w:tc>
        <w:tc>
          <w:tcPr>
            <w:tcW w:w="1916" w:type="dxa"/>
            <w:tcBorders>
              <w:top w:val="nil"/>
              <w:left w:val="nil"/>
              <w:bottom w:val="single" w:sz="4" w:space="0" w:color="auto"/>
            </w:tcBorders>
          </w:tcPr>
          <w:p w:rsidR="00AF13FF" w:rsidRDefault="00AF13FF" w:rsidP="001B5F0A">
            <w:pPr>
              <w:spacing w:line="360" w:lineRule="auto"/>
              <w:jc w:val="center"/>
              <w:rPr>
                <w:rFonts w:ascii="Arial" w:hAnsi="Arial" w:cs="Arial"/>
                <w:sz w:val="24"/>
                <w:szCs w:val="24"/>
              </w:rPr>
            </w:pPr>
            <w:r>
              <w:rPr>
                <w:rFonts w:ascii="Arial" w:hAnsi="Arial" w:cs="Arial"/>
                <w:sz w:val="24"/>
                <w:szCs w:val="24"/>
              </w:rPr>
              <w:t>64.18</w:t>
            </w:r>
          </w:p>
        </w:tc>
        <w:tc>
          <w:tcPr>
            <w:tcW w:w="1417" w:type="dxa"/>
            <w:vMerge/>
            <w:tcBorders>
              <w:right w:val="nil"/>
            </w:tcBorders>
          </w:tcPr>
          <w:p w:rsidR="00AF13FF" w:rsidRDefault="00AF13FF" w:rsidP="001B5F0A">
            <w:pPr>
              <w:spacing w:line="360" w:lineRule="auto"/>
              <w:jc w:val="center"/>
              <w:rPr>
                <w:rFonts w:ascii="Arial" w:hAnsi="Arial" w:cs="Arial"/>
                <w:sz w:val="24"/>
                <w:szCs w:val="24"/>
              </w:rPr>
            </w:pPr>
          </w:p>
        </w:tc>
        <w:tc>
          <w:tcPr>
            <w:tcW w:w="1276" w:type="dxa"/>
            <w:tcBorders>
              <w:top w:val="nil"/>
              <w:left w:val="nil"/>
              <w:bottom w:val="single" w:sz="4" w:space="0" w:color="auto"/>
              <w:right w:val="nil"/>
            </w:tcBorders>
          </w:tcPr>
          <w:p w:rsidR="00AF13FF" w:rsidRDefault="00AF13FF" w:rsidP="001B5F0A">
            <w:pPr>
              <w:spacing w:line="360" w:lineRule="auto"/>
              <w:jc w:val="center"/>
              <w:rPr>
                <w:rFonts w:ascii="Arial" w:hAnsi="Arial" w:cs="Arial"/>
                <w:sz w:val="24"/>
                <w:szCs w:val="24"/>
              </w:rPr>
            </w:pPr>
            <w:r>
              <w:rPr>
                <w:rFonts w:ascii="Arial" w:hAnsi="Arial" w:cs="Arial"/>
                <w:sz w:val="24"/>
                <w:szCs w:val="24"/>
              </w:rPr>
              <w:t>15</w:t>
            </w:r>
          </w:p>
        </w:tc>
        <w:tc>
          <w:tcPr>
            <w:tcW w:w="1843" w:type="dxa"/>
            <w:tcBorders>
              <w:top w:val="nil"/>
              <w:left w:val="nil"/>
              <w:bottom w:val="single" w:sz="4" w:space="0" w:color="auto"/>
              <w:right w:val="nil"/>
            </w:tcBorders>
          </w:tcPr>
          <w:p w:rsidR="00AF13FF" w:rsidRDefault="00AF13FF" w:rsidP="001B5F0A">
            <w:pPr>
              <w:spacing w:line="360" w:lineRule="auto"/>
              <w:jc w:val="center"/>
              <w:rPr>
                <w:rFonts w:ascii="Arial" w:hAnsi="Arial" w:cs="Arial"/>
                <w:sz w:val="24"/>
                <w:szCs w:val="24"/>
              </w:rPr>
            </w:pPr>
            <w:r>
              <w:rPr>
                <w:rFonts w:ascii="Arial" w:hAnsi="Arial" w:cs="Arial"/>
                <w:sz w:val="24"/>
                <w:szCs w:val="24"/>
              </w:rPr>
              <w:t>149.05</w:t>
            </w:r>
          </w:p>
        </w:tc>
      </w:tr>
      <w:tr w:rsidR="00AF13FF" w:rsidTr="001B5F0A">
        <w:trPr>
          <w:trHeight w:val="355"/>
        </w:trPr>
        <w:tc>
          <w:tcPr>
            <w:tcW w:w="1297" w:type="dxa"/>
            <w:vMerge w:val="restart"/>
            <w:tcBorders>
              <w:left w:val="nil"/>
              <w:right w:val="nil"/>
            </w:tcBorders>
            <w:vAlign w:val="center"/>
          </w:tcPr>
          <w:p w:rsidR="00AF13FF" w:rsidRPr="00C12BE0" w:rsidRDefault="00AF13FF" w:rsidP="001B5F0A">
            <w:pPr>
              <w:spacing w:line="360" w:lineRule="auto"/>
              <w:jc w:val="center"/>
              <w:rPr>
                <w:rFonts w:ascii="Arial" w:hAnsi="Arial" w:cs="Arial"/>
                <w:sz w:val="24"/>
                <w:szCs w:val="24"/>
              </w:rPr>
            </w:pPr>
            <w:r w:rsidRPr="00C12BE0">
              <w:rPr>
                <w:rFonts w:ascii="Arial" w:hAnsi="Arial" w:cs="Arial"/>
                <w:sz w:val="24"/>
                <w:szCs w:val="24"/>
              </w:rPr>
              <w:t>C</w:t>
            </w:r>
          </w:p>
        </w:tc>
        <w:tc>
          <w:tcPr>
            <w:tcW w:w="1148" w:type="dxa"/>
            <w:tcBorders>
              <w:left w:val="nil"/>
              <w:bottom w:val="nil"/>
              <w:right w:val="nil"/>
            </w:tcBorders>
          </w:tcPr>
          <w:p w:rsidR="00AF13FF" w:rsidRDefault="00AF13FF" w:rsidP="001B5F0A">
            <w:pPr>
              <w:spacing w:line="360" w:lineRule="auto"/>
              <w:jc w:val="center"/>
              <w:rPr>
                <w:rFonts w:ascii="Arial" w:hAnsi="Arial" w:cs="Arial"/>
                <w:sz w:val="24"/>
                <w:szCs w:val="24"/>
              </w:rPr>
            </w:pPr>
            <w:r>
              <w:rPr>
                <w:rFonts w:ascii="Arial" w:hAnsi="Arial" w:cs="Arial"/>
                <w:sz w:val="24"/>
                <w:szCs w:val="24"/>
              </w:rPr>
              <w:t>7</w:t>
            </w:r>
          </w:p>
        </w:tc>
        <w:tc>
          <w:tcPr>
            <w:tcW w:w="1916" w:type="dxa"/>
            <w:tcBorders>
              <w:left w:val="nil"/>
              <w:bottom w:val="nil"/>
            </w:tcBorders>
          </w:tcPr>
          <w:p w:rsidR="00AF13FF" w:rsidRDefault="00AF13FF" w:rsidP="001B5F0A">
            <w:pPr>
              <w:spacing w:line="360" w:lineRule="auto"/>
              <w:jc w:val="center"/>
              <w:rPr>
                <w:rFonts w:ascii="Arial" w:hAnsi="Arial" w:cs="Arial"/>
                <w:sz w:val="24"/>
                <w:szCs w:val="24"/>
              </w:rPr>
            </w:pPr>
            <w:r>
              <w:rPr>
                <w:rFonts w:ascii="Arial" w:hAnsi="Arial" w:cs="Arial"/>
                <w:sz w:val="24"/>
                <w:szCs w:val="24"/>
              </w:rPr>
              <w:t>28.47</w:t>
            </w:r>
          </w:p>
        </w:tc>
        <w:tc>
          <w:tcPr>
            <w:tcW w:w="1417" w:type="dxa"/>
            <w:vMerge w:val="restart"/>
            <w:tcBorders>
              <w:right w:val="nil"/>
            </w:tcBorders>
            <w:vAlign w:val="center"/>
          </w:tcPr>
          <w:p w:rsidR="00AF13FF" w:rsidRPr="008D4F7D" w:rsidRDefault="00AF13FF" w:rsidP="001B5F0A">
            <w:pPr>
              <w:spacing w:line="360" w:lineRule="auto"/>
              <w:jc w:val="center"/>
              <w:rPr>
                <w:rFonts w:ascii="Arial" w:hAnsi="Arial" w:cs="Arial"/>
                <w:sz w:val="24"/>
                <w:szCs w:val="24"/>
              </w:rPr>
            </w:pPr>
            <w:r w:rsidRPr="008D4F7D">
              <w:rPr>
                <w:rFonts w:ascii="Arial" w:hAnsi="Arial" w:cs="Arial"/>
                <w:sz w:val="24"/>
                <w:szCs w:val="24"/>
              </w:rPr>
              <w:t>G</w:t>
            </w:r>
          </w:p>
        </w:tc>
        <w:tc>
          <w:tcPr>
            <w:tcW w:w="1276" w:type="dxa"/>
            <w:tcBorders>
              <w:left w:val="nil"/>
              <w:bottom w:val="nil"/>
              <w:right w:val="nil"/>
            </w:tcBorders>
          </w:tcPr>
          <w:p w:rsidR="00AF13FF" w:rsidRDefault="00AF13FF" w:rsidP="001B5F0A">
            <w:pPr>
              <w:spacing w:line="360" w:lineRule="auto"/>
              <w:jc w:val="center"/>
              <w:rPr>
                <w:rFonts w:ascii="Arial" w:hAnsi="Arial" w:cs="Arial"/>
                <w:sz w:val="24"/>
                <w:szCs w:val="24"/>
              </w:rPr>
            </w:pPr>
            <w:r>
              <w:rPr>
                <w:rFonts w:ascii="Arial" w:hAnsi="Arial" w:cs="Arial"/>
                <w:sz w:val="24"/>
                <w:szCs w:val="24"/>
              </w:rPr>
              <w:t>16</w:t>
            </w:r>
          </w:p>
        </w:tc>
        <w:tc>
          <w:tcPr>
            <w:tcW w:w="1843" w:type="dxa"/>
            <w:tcBorders>
              <w:left w:val="nil"/>
              <w:bottom w:val="nil"/>
              <w:right w:val="nil"/>
            </w:tcBorders>
          </w:tcPr>
          <w:p w:rsidR="00AF13FF" w:rsidRDefault="00AF13FF" w:rsidP="001B5F0A">
            <w:pPr>
              <w:spacing w:line="360" w:lineRule="auto"/>
              <w:jc w:val="center"/>
              <w:rPr>
                <w:rFonts w:ascii="Arial" w:hAnsi="Arial" w:cs="Arial"/>
                <w:sz w:val="24"/>
                <w:szCs w:val="24"/>
              </w:rPr>
            </w:pPr>
            <w:r>
              <w:rPr>
                <w:rFonts w:ascii="Arial" w:hAnsi="Arial" w:cs="Arial"/>
                <w:sz w:val="24"/>
                <w:szCs w:val="24"/>
              </w:rPr>
              <w:t>124.84</w:t>
            </w:r>
          </w:p>
        </w:tc>
      </w:tr>
      <w:tr w:rsidR="00AF13FF" w:rsidTr="001B5F0A">
        <w:trPr>
          <w:trHeight w:val="123"/>
        </w:trPr>
        <w:tc>
          <w:tcPr>
            <w:tcW w:w="1297" w:type="dxa"/>
            <w:vMerge/>
            <w:tcBorders>
              <w:left w:val="nil"/>
              <w:right w:val="nil"/>
            </w:tcBorders>
          </w:tcPr>
          <w:p w:rsidR="00AF13FF" w:rsidRDefault="00AF13FF" w:rsidP="001B5F0A">
            <w:pPr>
              <w:spacing w:line="360" w:lineRule="auto"/>
              <w:jc w:val="center"/>
              <w:rPr>
                <w:rFonts w:ascii="Arial" w:hAnsi="Arial" w:cs="Arial"/>
                <w:sz w:val="24"/>
                <w:szCs w:val="24"/>
              </w:rPr>
            </w:pPr>
          </w:p>
        </w:tc>
        <w:tc>
          <w:tcPr>
            <w:tcW w:w="1148" w:type="dxa"/>
            <w:tcBorders>
              <w:top w:val="nil"/>
              <w:left w:val="nil"/>
              <w:bottom w:val="nil"/>
              <w:right w:val="nil"/>
            </w:tcBorders>
          </w:tcPr>
          <w:p w:rsidR="00AF13FF" w:rsidRDefault="00AF13FF" w:rsidP="001B5F0A">
            <w:pPr>
              <w:spacing w:line="360" w:lineRule="auto"/>
              <w:jc w:val="center"/>
              <w:rPr>
                <w:rFonts w:ascii="Arial" w:hAnsi="Arial" w:cs="Arial"/>
                <w:sz w:val="24"/>
                <w:szCs w:val="24"/>
              </w:rPr>
            </w:pPr>
            <w:r>
              <w:rPr>
                <w:rFonts w:ascii="Arial" w:hAnsi="Arial" w:cs="Arial"/>
                <w:sz w:val="24"/>
                <w:szCs w:val="24"/>
              </w:rPr>
              <w:t>8</w:t>
            </w:r>
          </w:p>
        </w:tc>
        <w:tc>
          <w:tcPr>
            <w:tcW w:w="1916" w:type="dxa"/>
            <w:tcBorders>
              <w:top w:val="nil"/>
              <w:left w:val="nil"/>
              <w:bottom w:val="nil"/>
            </w:tcBorders>
          </w:tcPr>
          <w:p w:rsidR="00AF13FF" w:rsidRDefault="00AF13FF" w:rsidP="001B5F0A">
            <w:pPr>
              <w:spacing w:line="360" w:lineRule="auto"/>
              <w:jc w:val="center"/>
              <w:rPr>
                <w:rFonts w:ascii="Arial" w:hAnsi="Arial" w:cs="Arial"/>
                <w:sz w:val="24"/>
                <w:szCs w:val="24"/>
              </w:rPr>
            </w:pPr>
            <w:r>
              <w:rPr>
                <w:rFonts w:ascii="Arial" w:hAnsi="Arial" w:cs="Arial"/>
                <w:sz w:val="24"/>
                <w:szCs w:val="24"/>
              </w:rPr>
              <w:t>85.71</w:t>
            </w:r>
          </w:p>
        </w:tc>
        <w:tc>
          <w:tcPr>
            <w:tcW w:w="1417" w:type="dxa"/>
            <w:vMerge/>
            <w:tcBorders>
              <w:right w:val="nil"/>
            </w:tcBorders>
          </w:tcPr>
          <w:p w:rsidR="00AF13FF" w:rsidRPr="00B944C0" w:rsidRDefault="00AF13FF" w:rsidP="001B5F0A">
            <w:pPr>
              <w:spacing w:line="360" w:lineRule="auto"/>
              <w:jc w:val="center"/>
              <w:rPr>
                <w:rFonts w:ascii="Arial" w:hAnsi="Arial" w:cs="Arial"/>
                <w:b/>
                <w:sz w:val="24"/>
                <w:szCs w:val="24"/>
              </w:rPr>
            </w:pPr>
          </w:p>
        </w:tc>
        <w:tc>
          <w:tcPr>
            <w:tcW w:w="1276" w:type="dxa"/>
            <w:tcBorders>
              <w:top w:val="nil"/>
              <w:left w:val="nil"/>
              <w:bottom w:val="nil"/>
              <w:right w:val="nil"/>
            </w:tcBorders>
          </w:tcPr>
          <w:p w:rsidR="00AF13FF" w:rsidRDefault="00AF13FF" w:rsidP="001B5F0A">
            <w:pPr>
              <w:spacing w:line="360" w:lineRule="auto"/>
              <w:jc w:val="center"/>
              <w:rPr>
                <w:rFonts w:ascii="Arial" w:hAnsi="Arial" w:cs="Arial"/>
                <w:sz w:val="24"/>
                <w:szCs w:val="24"/>
              </w:rPr>
            </w:pPr>
            <w:r>
              <w:rPr>
                <w:rFonts w:ascii="Arial" w:hAnsi="Arial" w:cs="Arial"/>
                <w:sz w:val="24"/>
                <w:szCs w:val="24"/>
              </w:rPr>
              <w:t>17</w:t>
            </w:r>
          </w:p>
        </w:tc>
        <w:tc>
          <w:tcPr>
            <w:tcW w:w="1843" w:type="dxa"/>
            <w:tcBorders>
              <w:top w:val="nil"/>
              <w:left w:val="nil"/>
              <w:bottom w:val="nil"/>
              <w:right w:val="nil"/>
            </w:tcBorders>
          </w:tcPr>
          <w:p w:rsidR="00AF13FF" w:rsidRDefault="00AF13FF" w:rsidP="001B5F0A">
            <w:pPr>
              <w:spacing w:line="360" w:lineRule="auto"/>
              <w:jc w:val="center"/>
              <w:rPr>
                <w:rFonts w:ascii="Arial" w:hAnsi="Arial" w:cs="Arial"/>
                <w:sz w:val="24"/>
                <w:szCs w:val="24"/>
              </w:rPr>
            </w:pPr>
            <w:r>
              <w:rPr>
                <w:rFonts w:ascii="Arial" w:hAnsi="Arial" w:cs="Arial"/>
                <w:sz w:val="24"/>
                <w:szCs w:val="24"/>
              </w:rPr>
              <w:t>47.50</w:t>
            </w:r>
          </w:p>
        </w:tc>
      </w:tr>
      <w:tr w:rsidR="00AF13FF" w:rsidTr="001B5F0A">
        <w:trPr>
          <w:trHeight w:val="123"/>
        </w:trPr>
        <w:tc>
          <w:tcPr>
            <w:tcW w:w="1297" w:type="dxa"/>
            <w:vMerge/>
            <w:tcBorders>
              <w:left w:val="nil"/>
              <w:right w:val="nil"/>
            </w:tcBorders>
          </w:tcPr>
          <w:p w:rsidR="00AF13FF" w:rsidRDefault="00AF13FF" w:rsidP="001B5F0A">
            <w:pPr>
              <w:spacing w:line="360" w:lineRule="auto"/>
              <w:jc w:val="center"/>
              <w:rPr>
                <w:rFonts w:ascii="Arial" w:hAnsi="Arial" w:cs="Arial"/>
                <w:sz w:val="24"/>
                <w:szCs w:val="24"/>
              </w:rPr>
            </w:pPr>
          </w:p>
        </w:tc>
        <w:tc>
          <w:tcPr>
            <w:tcW w:w="1148" w:type="dxa"/>
            <w:tcBorders>
              <w:top w:val="nil"/>
              <w:left w:val="nil"/>
              <w:bottom w:val="single" w:sz="4" w:space="0" w:color="auto"/>
              <w:right w:val="nil"/>
            </w:tcBorders>
          </w:tcPr>
          <w:p w:rsidR="00AF13FF" w:rsidRDefault="00AF13FF" w:rsidP="001B5F0A">
            <w:pPr>
              <w:spacing w:line="360" w:lineRule="auto"/>
              <w:jc w:val="center"/>
              <w:rPr>
                <w:rFonts w:ascii="Arial" w:hAnsi="Arial" w:cs="Arial"/>
                <w:sz w:val="24"/>
                <w:szCs w:val="24"/>
              </w:rPr>
            </w:pPr>
            <w:r>
              <w:rPr>
                <w:rFonts w:ascii="Arial" w:hAnsi="Arial" w:cs="Arial"/>
                <w:sz w:val="24"/>
                <w:szCs w:val="24"/>
              </w:rPr>
              <w:t>9</w:t>
            </w:r>
          </w:p>
        </w:tc>
        <w:tc>
          <w:tcPr>
            <w:tcW w:w="1916" w:type="dxa"/>
            <w:tcBorders>
              <w:top w:val="nil"/>
              <w:left w:val="nil"/>
              <w:bottom w:val="single" w:sz="4" w:space="0" w:color="auto"/>
            </w:tcBorders>
          </w:tcPr>
          <w:p w:rsidR="00AF13FF" w:rsidRDefault="00AF13FF" w:rsidP="001B5F0A">
            <w:pPr>
              <w:spacing w:line="360" w:lineRule="auto"/>
              <w:jc w:val="center"/>
              <w:rPr>
                <w:rFonts w:ascii="Arial" w:hAnsi="Arial" w:cs="Arial"/>
                <w:sz w:val="24"/>
                <w:szCs w:val="24"/>
              </w:rPr>
            </w:pPr>
            <w:r>
              <w:rPr>
                <w:rFonts w:ascii="Arial" w:hAnsi="Arial" w:cs="Arial"/>
                <w:sz w:val="24"/>
                <w:szCs w:val="24"/>
              </w:rPr>
              <w:t>94.55</w:t>
            </w:r>
          </w:p>
        </w:tc>
        <w:tc>
          <w:tcPr>
            <w:tcW w:w="1417" w:type="dxa"/>
            <w:vMerge/>
            <w:tcBorders>
              <w:bottom w:val="single" w:sz="4" w:space="0" w:color="auto"/>
              <w:right w:val="nil"/>
            </w:tcBorders>
          </w:tcPr>
          <w:p w:rsidR="00AF13FF" w:rsidRPr="00B944C0" w:rsidRDefault="00AF13FF" w:rsidP="001B5F0A">
            <w:pPr>
              <w:spacing w:line="360" w:lineRule="auto"/>
              <w:jc w:val="center"/>
              <w:rPr>
                <w:rFonts w:ascii="Arial" w:hAnsi="Arial" w:cs="Arial"/>
                <w:b/>
                <w:sz w:val="24"/>
                <w:szCs w:val="24"/>
              </w:rPr>
            </w:pPr>
          </w:p>
        </w:tc>
        <w:tc>
          <w:tcPr>
            <w:tcW w:w="1276" w:type="dxa"/>
            <w:tcBorders>
              <w:top w:val="nil"/>
              <w:left w:val="nil"/>
              <w:bottom w:val="single" w:sz="4" w:space="0" w:color="auto"/>
              <w:right w:val="nil"/>
            </w:tcBorders>
          </w:tcPr>
          <w:p w:rsidR="00AF13FF" w:rsidRDefault="00AF13FF" w:rsidP="001B5F0A">
            <w:pPr>
              <w:spacing w:line="360" w:lineRule="auto"/>
              <w:jc w:val="center"/>
              <w:rPr>
                <w:rFonts w:ascii="Arial" w:hAnsi="Arial" w:cs="Arial"/>
                <w:sz w:val="24"/>
                <w:szCs w:val="24"/>
              </w:rPr>
            </w:pPr>
            <w:r>
              <w:rPr>
                <w:rFonts w:ascii="Arial" w:hAnsi="Arial" w:cs="Arial"/>
                <w:sz w:val="24"/>
                <w:szCs w:val="24"/>
              </w:rPr>
              <w:t>18</w:t>
            </w:r>
          </w:p>
        </w:tc>
        <w:tc>
          <w:tcPr>
            <w:tcW w:w="1843" w:type="dxa"/>
            <w:tcBorders>
              <w:top w:val="nil"/>
              <w:left w:val="nil"/>
              <w:bottom w:val="single" w:sz="4" w:space="0" w:color="auto"/>
              <w:right w:val="nil"/>
            </w:tcBorders>
          </w:tcPr>
          <w:p w:rsidR="00AF13FF" w:rsidRDefault="00AF13FF" w:rsidP="001B5F0A">
            <w:pPr>
              <w:spacing w:line="360" w:lineRule="auto"/>
              <w:jc w:val="center"/>
              <w:rPr>
                <w:rFonts w:ascii="Arial" w:hAnsi="Arial" w:cs="Arial"/>
                <w:sz w:val="24"/>
                <w:szCs w:val="24"/>
              </w:rPr>
            </w:pPr>
            <w:r>
              <w:rPr>
                <w:rFonts w:ascii="Arial" w:hAnsi="Arial" w:cs="Arial"/>
                <w:sz w:val="24"/>
                <w:szCs w:val="24"/>
              </w:rPr>
              <w:t>15.51</w:t>
            </w:r>
          </w:p>
        </w:tc>
      </w:tr>
    </w:tbl>
    <w:p w:rsidR="00AF13FF" w:rsidRDefault="002C3F1F" w:rsidP="00AF13FF">
      <w:pPr>
        <w:spacing w:line="360" w:lineRule="auto"/>
        <w:jc w:val="both"/>
        <w:rPr>
          <w:rFonts w:ascii="Arial" w:hAnsi="Arial" w:cs="Arial"/>
          <w:sz w:val="20"/>
          <w:szCs w:val="24"/>
        </w:rPr>
      </w:pPr>
      <w:r w:rsidRPr="00F820D1">
        <w:rPr>
          <w:rFonts w:ascii="Arial" w:hAnsi="Arial" w:cs="Arial"/>
          <w:sz w:val="20"/>
          <w:szCs w:val="24"/>
        </w:rPr>
        <w:t>Tab</w:t>
      </w:r>
      <w:r w:rsidR="00AF13FF">
        <w:rPr>
          <w:rFonts w:ascii="Arial" w:hAnsi="Arial" w:cs="Arial"/>
          <w:sz w:val="20"/>
          <w:szCs w:val="24"/>
        </w:rPr>
        <w:t xml:space="preserve">la 1: Niveles de Ocratoxina A. </w:t>
      </w:r>
    </w:p>
    <w:p w:rsidR="002C3F1F" w:rsidRPr="00C852A6" w:rsidRDefault="00AF13FF" w:rsidP="00AF13FF">
      <w:pPr>
        <w:spacing w:line="360" w:lineRule="auto"/>
        <w:jc w:val="both"/>
        <w:rPr>
          <w:rFonts w:ascii="Arial" w:hAnsi="Arial" w:cs="Arial"/>
          <w:b/>
          <w:sz w:val="24"/>
          <w:szCs w:val="24"/>
        </w:rPr>
      </w:pPr>
      <w:r w:rsidRPr="00C852A6">
        <w:rPr>
          <w:rFonts w:ascii="Arial" w:hAnsi="Arial" w:cs="Arial"/>
          <w:b/>
          <w:sz w:val="24"/>
          <w:szCs w:val="24"/>
        </w:rPr>
        <w:t xml:space="preserve"> </w:t>
      </w:r>
      <w:r w:rsidR="002C3F1F" w:rsidRPr="00C852A6">
        <w:rPr>
          <w:rFonts w:ascii="Arial" w:hAnsi="Arial" w:cs="Arial"/>
          <w:b/>
          <w:sz w:val="24"/>
          <w:szCs w:val="24"/>
        </w:rPr>
        <w:t>DISCUSIÓN (AVANCES)</w:t>
      </w:r>
    </w:p>
    <w:p w:rsidR="002C3F1F" w:rsidRPr="00275CF8" w:rsidRDefault="002C3F1F" w:rsidP="002C3F1F">
      <w:pPr>
        <w:spacing w:line="360" w:lineRule="auto"/>
        <w:jc w:val="both"/>
        <w:rPr>
          <w:rFonts w:ascii="Arial" w:hAnsi="Arial" w:cs="Arial"/>
          <w:sz w:val="24"/>
          <w:szCs w:val="24"/>
        </w:rPr>
      </w:pPr>
      <w:r>
        <w:rPr>
          <w:rFonts w:ascii="Arial" w:hAnsi="Arial" w:cs="Arial"/>
          <w:sz w:val="24"/>
          <w:szCs w:val="24"/>
        </w:rPr>
        <w:t>S</w:t>
      </w:r>
      <w:r w:rsidR="00AF13FF">
        <w:rPr>
          <w:rFonts w:ascii="Arial" w:hAnsi="Arial" w:cs="Arial"/>
          <w:sz w:val="24"/>
          <w:szCs w:val="24"/>
        </w:rPr>
        <w:t>e detectó OTA en las 18</w:t>
      </w:r>
      <w:r>
        <w:rPr>
          <w:rFonts w:ascii="Arial" w:hAnsi="Arial" w:cs="Arial"/>
          <w:sz w:val="24"/>
          <w:szCs w:val="24"/>
        </w:rPr>
        <w:t xml:space="preserve"> muestra</w:t>
      </w:r>
      <w:r w:rsidR="00AF13FF">
        <w:rPr>
          <w:rFonts w:ascii="Arial" w:hAnsi="Arial" w:cs="Arial"/>
          <w:sz w:val="24"/>
          <w:szCs w:val="24"/>
        </w:rPr>
        <w:t>s analizadas  (tabla 1) de los 6</w:t>
      </w:r>
      <w:r>
        <w:rPr>
          <w:rFonts w:ascii="Arial" w:hAnsi="Arial" w:cs="Arial"/>
          <w:sz w:val="24"/>
          <w:szCs w:val="24"/>
        </w:rPr>
        <w:t xml:space="preserve"> beneficios, en el rango de </w:t>
      </w:r>
      <w:r w:rsidR="00AF13FF">
        <w:rPr>
          <w:rFonts w:ascii="Arial" w:hAnsi="Arial" w:cs="Arial"/>
          <w:sz w:val="24"/>
          <w:szCs w:val="24"/>
        </w:rPr>
        <w:t>15.51 µg/Kg a 351.28 µg/Kg</w:t>
      </w:r>
      <w:r w:rsidR="00AF13FF">
        <w:rPr>
          <w:rFonts w:ascii="Arial" w:hAnsi="Arial" w:cs="Arial"/>
          <w:sz w:val="24"/>
          <w:szCs w:val="24"/>
        </w:rPr>
        <w:t>. La muestra 10</w:t>
      </w:r>
      <w:r>
        <w:rPr>
          <w:rFonts w:ascii="Arial" w:hAnsi="Arial" w:cs="Arial"/>
          <w:sz w:val="24"/>
          <w:szCs w:val="24"/>
        </w:rPr>
        <w:t xml:space="preserve"> mostró el contenido más alto de OTA (351.285 µg/Kg). Todas las muestras</w:t>
      </w:r>
      <w:r w:rsidR="008D4F7D">
        <w:rPr>
          <w:rFonts w:ascii="Arial" w:hAnsi="Arial" w:cs="Arial"/>
          <w:sz w:val="24"/>
          <w:szCs w:val="24"/>
        </w:rPr>
        <w:t xml:space="preserve"> </w:t>
      </w:r>
      <w:r w:rsidR="00C852A6">
        <w:rPr>
          <w:rFonts w:ascii="Arial" w:hAnsi="Arial" w:cs="Arial"/>
          <w:sz w:val="24"/>
          <w:szCs w:val="24"/>
        </w:rPr>
        <w:t>están</w:t>
      </w:r>
      <w:r>
        <w:rPr>
          <w:rFonts w:ascii="Arial" w:hAnsi="Arial" w:cs="Arial"/>
          <w:sz w:val="24"/>
          <w:szCs w:val="24"/>
        </w:rPr>
        <w:t xml:space="preserve"> por arriba del límite máximo permisible por la Unión Europea de 5 µg/Kg </w:t>
      </w:r>
      <w:r>
        <w:rPr>
          <w:rFonts w:ascii="Arial" w:hAnsi="Arial" w:cs="Arial"/>
          <w:sz w:val="24"/>
          <w:szCs w:val="24"/>
        </w:rPr>
        <w:fldChar w:fldCharType="begin"/>
      </w:r>
      <w:r>
        <w:rPr>
          <w:rFonts w:ascii="Arial" w:hAnsi="Arial" w:cs="Arial"/>
          <w:sz w:val="24"/>
          <w:szCs w:val="24"/>
        </w:rPr>
        <w:instrText xml:space="preserve"> CITATION Dia06 \l 2058 </w:instrText>
      </w:r>
      <w:r>
        <w:rPr>
          <w:rFonts w:ascii="Arial" w:hAnsi="Arial" w:cs="Arial"/>
          <w:sz w:val="24"/>
          <w:szCs w:val="24"/>
        </w:rPr>
        <w:fldChar w:fldCharType="separate"/>
      </w:r>
      <w:r w:rsidRPr="00747588">
        <w:rPr>
          <w:rFonts w:ascii="Arial" w:hAnsi="Arial" w:cs="Arial"/>
          <w:noProof/>
          <w:sz w:val="24"/>
          <w:szCs w:val="24"/>
        </w:rPr>
        <w:t>(Diario Oficial de la Union Europea, 2006)</w:t>
      </w:r>
      <w:r>
        <w:rPr>
          <w:rFonts w:ascii="Arial" w:hAnsi="Arial" w:cs="Arial"/>
          <w:sz w:val="24"/>
          <w:szCs w:val="24"/>
        </w:rPr>
        <w:fldChar w:fldCharType="end"/>
      </w:r>
      <w:r w:rsidR="00C852A6">
        <w:rPr>
          <w:rFonts w:ascii="Arial" w:hAnsi="Arial" w:cs="Arial"/>
          <w:sz w:val="24"/>
          <w:szCs w:val="24"/>
        </w:rPr>
        <w:t xml:space="preserve"> dado que en México no hay normativa</w:t>
      </w:r>
      <w:r>
        <w:rPr>
          <w:rFonts w:ascii="Arial" w:hAnsi="Arial" w:cs="Arial"/>
          <w:sz w:val="24"/>
          <w:szCs w:val="24"/>
        </w:rPr>
        <w:t xml:space="preserve">. La </w:t>
      </w:r>
      <w:r w:rsidR="00B608F0" w:rsidRPr="00B608F0">
        <w:rPr>
          <w:rFonts w:ascii="Arial" w:hAnsi="Arial" w:cs="Arial"/>
          <w:sz w:val="24"/>
          <w:szCs w:val="24"/>
        </w:rPr>
        <w:t>O</w:t>
      </w:r>
      <w:r>
        <w:rPr>
          <w:rFonts w:ascii="Arial" w:hAnsi="Arial" w:cs="Arial"/>
          <w:sz w:val="24"/>
          <w:szCs w:val="24"/>
        </w:rPr>
        <w:t>cratoxina A es reconocida internacionalmente como contaminante del café tostado, en estudios realizados en Francia (</w:t>
      </w:r>
      <w:proofErr w:type="spellStart"/>
      <w:r>
        <w:rPr>
          <w:rFonts w:ascii="Arial" w:hAnsi="Arial" w:cs="Arial"/>
          <w:sz w:val="24"/>
          <w:szCs w:val="24"/>
        </w:rPr>
        <w:t>Tozlovanu</w:t>
      </w:r>
      <w:proofErr w:type="spellEnd"/>
      <w:r>
        <w:rPr>
          <w:rFonts w:ascii="Arial" w:hAnsi="Arial" w:cs="Arial"/>
          <w:sz w:val="24"/>
          <w:szCs w:val="24"/>
        </w:rPr>
        <w:t xml:space="preserve"> y </w:t>
      </w:r>
      <w:proofErr w:type="spellStart"/>
      <w:r>
        <w:rPr>
          <w:rFonts w:ascii="Arial" w:hAnsi="Arial" w:cs="Arial"/>
          <w:sz w:val="24"/>
          <w:szCs w:val="24"/>
        </w:rPr>
        <w:t>Pfohol-Leszkowicz</w:t>
      </w:r>
      <w:proofErr w:type="spellEnd"/>
      <w:r>
        <w:rPr>
          <w:rFonts w:ascii="Arial" w:hAnsi="Arial" w:cs="Arial"/>
          <w:sz w:val="24"/>
          <w:szCs w:val="24"/>
        </w:rPr>
        <w:t>, 2010), Re</w:t>
      </w:r>
      <w:r w:rsidR="00C852A6">
        <w:rPr>
          <w:rFonts w:ascii="Arial" w:hAnsi="Arial" w:cs="Arial"/>
          <w:sz w:val="24"/>
          <w:szCs w:val="24"/>
        </w:rPr>
        <w:t>ino Unido (</w:t>
      </w:r>
      <w:proofErr w:type="spellStart"/>
      <w:r w:rsidR="00C852A6">
        <w:rPr>
          <w:rFonts w:ascii="Arial" w:hAnsi="Arial" w:cs="Arial"/>
          <w:sz w:val="24"/>
          <w:szCs w:val="24"/>
        </w:rPr>
        <w:t>Patel</w:t>
      </w:r>
      <w:proofErr w:type="spellEnd"/>
      <w:r w:rsidR="00C852A6">
        <w:rPr>
          <w:rFonts w:ascii="Arial" w:hAnsi="Arial" w:cs="Arial"/>
          <w:sz w:val="24"/>
          <w:szCs w:val="24"/>
        </w:rPr>
        <w:t xml:space="preserve"> et al; 1997), </w:t>
      </w:r>
      <w:r>
        <w:rPr>
          <w:rFonts w:ascii="Arial" w:hAnsi="Arial" w:cs="Arial"/>
          <w:sz w:val="24"/>
          <w:szCs w:val="24"/>
        </w:rPr>
        <w:t>España (Coronel et al; 2011) y Canadá (</w:t>
      </w:r>
      <w:proofErr w:type="spellStart"/>
      <w:r>
        <w:rPr>
          <w:rFonts w:ascii="Arial" w:hAnsi="Arial" w:cs="Arial"/>
          <w:sz w:val="24"/>
          <w:szCs w:val="24"/>
        </w:rPr>
        <w:t>Lombaert</w:t>
      </w:r>
      <w:proofErr w:type="spellEnd"/>
      <w:r>
        <w:rPr>
          <w:rFonts w:ascii="Arial" w:hAnsi="Arial" w:cs="Arial"/>
          <w:sz w:val="24"/>
          <w:szCs w:val="24"/>
        </w:rPr>
        <w:t xml:space="preserve"> et al; 2002), el alcance de OTA fue de 11.9 µg/Kg, 0.2-2.1 µg/Kg, 1.2-4.21 µg/Kg y 0.1-2.3 µg/Kg, respectivamente; mientras que en países como Chile (</w:t>
      </w:r>
      <w:proofErr w:type="spellStart"/>
      <w:r>
        <w:rPr>
          <w:rFonts w:ascii="Arial" w:hAnsi="Arial" w:cs="Arial"/>
          <w:sz w:val="24"/>
          <w:szCs w:val="24"/>
        </w:rPr>
        <w:t>Galarce</w:t>
      </w:r>
      <w:proofErr w:type="spellEnd"/>
      <w:r>
        <w:rPr>
          <w:rFonts w:ascii="Arial" w:hAnsi="Arial" w:cs="Arial"/>
          <w:sz w:val="24"/>
          <w:szCs w:val="24"/>
        </w:rPr>
        <w:t xml:space="preserve"> – Bustos et al; 2014), Brasil (</w:t>
      </w:r>
      <w:proofErr w:type="spellStart"/>
      <w:r>
        <w:rPr>
          <w:rFonts w:ascii="Arial" w:hAnsi="Arial" w:cs="Arial"/>
          <w:sz w:val="24"/>
          <w:szCs w:val="24"/>
        </w:rPr>
        <w:t>Bandeira</w:t>
      </w:r>
      <w:proofErr w:type="spellEnd"/>
      <w:r>
        <w:rPr>
          <w:rFonts w:ascii="Arial" w:hAnsi="Arial" w:cs="Arial"/>
          <w:sz w:val="24"/>
          <w:szCs w:val="24"/>
        </w:rPr>
        <w:t xml:space="preserve"> et al; 2012), Argentina (</w:t>
      </w:r>
      <w:proofErr w:type="spellStart"/>
      <w:r>
        <w:rPr>
          <w:rFonts w:ascii="Arial" w:hAnsi="Arial" w:cs="Arial"/>
          <w:sz w:val="24"/>
          <w:szCs w:val="24"/>
        </w:rPr>
        <w:t>Drunday</w:t>
      </w:r>
      <w:proofErr w:type="spellEnd"/>
      <w:r>
        <w:rPr>
          <w:rFonts w:ascii="Arial" w:hAnsi="Arial" w:cs="Arial"/>
          <w:sz w:val="24"/>
          <w:szCs w:val="24"/>
        </w:rPr>
        <w:t xml:space="preserve"> y </w:t>
      </w:r>
      <w:proofErr w:type="spellStart"/>
      <w:r>
        <w:rPr>
          <w:rFonts w:ascii="Arial" w:hAnsi="Arial" w:cs="Arial"/>
          <w:sz w:val="24"/>
          <w:szCs w:val="24"/>
        </w:rPr>
        <w:t>Pacin</w:t>
      </w:r>
      <w:proofErr w:type="spellEnd"/>
      <w:r>
        <w:rPr>
          <w:rFonts w:ascii="Arial" w:hAnsi="Arial" w:cs="Arial"/>
          <w:sz w:val="24"/>
          <w:szCs w:val="24"/>
        </w:rPr>
        <w:t>; 2013)</w:t>
      </w:r>
      <w:r w:rsidR="00B512E4">
        <w:rPr>
          <w:rFonts w:ascii="Arial" w:hAnsi="Arial" w:cs="Arial"/>
          <w:sz w:val="24"/>
          <w:szCs w:val="24"/>
        </w:rPr>
        <w:t xml:space="preserve"> y México (Alvares et al; 2015)</w:t>
      </w:r>
      <w:r>
        <w:rPr>
          <w:rFonts w:ascii="Arial" w:hAnsi="Arial" w:cs="Arial"/>
          <w:sz w:val="24"/>
          <w:szCs w:val="24"/>
        </w:rPr>
        <w:t xml:space="preserve">, fue de 0.84 µg/Kg, 0.09-9 µg/Kg, 0.11-5.78 µg/Kg y </w:t>
      </w:r>
      <w:r w:rsidR="00B512E4">
        <w:rPr>
          <w:rFonts w:ascii="Arial" w:hAnsi="Arial" w:cs="Arial"/>
          <w:sz w:val="24"/>
          <w:szCs w:val="24"/>
        </w:rPr>
        <w:t>6.1-93.4</w:t>
      </w:r>
      <w:r w:rsidR="00B512E4" w:rsidRPr="00B512E4">
        <w:rPr>
          <w:rFonts w:ascii="Arial" w:hAnsi="Arial" w:cs="Arial"/>
          <w:sz w:val="24"/>
          <w:szCs w:val="24"/>
        </w:rPr>
        <w:t xml:space="preserve"> </w:t>
      </w:r>
      <w:r w:rsidR="00B512E4">
        <w:rPr>
          <w:rFonts w:ascii="Arial" w:hAnsi="Arial" w:cs="Arial"/>
          <w:sz w:val="24"/>
          <w:szCs w:val="24"/>
        </w:rPr>
        <w:t>µg/Kg, respectivamente. De los cuales Francia, Brasil</w:t>
      </w:r>
      <w:r>
        <w:rPr>
          <w:rFonts w:ascii="Arial" w:hAnsi="Arial" w:cs="Arial"/>
          <w:sz w:val="24"/>
          <w:szCs w:val="24"/>
        </w:rPr>
        <w:t xml:space="preserve"> Argentina</w:t>
      </w:r>
      <w:r w:rsidR="00B512E4">
        <w:rPr>
          <w:rFonts w:ascii="Arial" w:hAnsi="Arial" w:cs="Arial"/>
          <w:sz w:val="24"/>
          <w:szCs w:val="24"/>
        </w:rPr>
        <w:t xml:space="preserve"> y México</w:t>
      </w:r>
      <w:r>
        <w:rPr>
          <w:rFonts w:ascii="Arial" w:hAnsi="Arial" w:cs="Arial"/>
          <w:sz w:val="24"/>
          <w:szCs w:val="24"/>
        </w:rPr>
        <w:t xml:space="preserve"> reportaron concentraciones que superaban el límite máximo permisible. Por lo tanto, los resultados determinados en esta investigación están por arriba de las concentraci</w:t>
      </w:r>
      <w:r w:rsidR="00A07B2D">
        <w:rPr>
          <w:rFonts w:ascii="Arial" w:hAnsi="Arial" w:cs="Arial"/>
          <w:sz w:val="24"/>
          <w:szCs w:val="24"/>
        </w:rPr>
        <w:t>ones reportadas en otros países, sin embargo, se ha de resaltar que las concentraciones de OTA encontradas en Guerrero, México</w:t>
      </w:r>
      <w:r w:rsidR="00B512E4">
        <w:rPr>
          <w:rFonts w:ascii="Arial" w:hAnsi="Arial" w:cs="Arial"/>
          <w:sz w:val="24"/>
          <w:szCs w:val="24"/>
        </w:rPr>
        <w:t xml:space="preserve"> </w:t>
      </w:r>
      <w:r w:rsidR="00A07B2D">
        <w:rPr>
          <w:rFonts w:ascii="Arial" w:hAnsi="Arial" w:cs="Arial"/>
          <w:sz w:val="24"/>
          <w:szCs w:val="24"/>
        </w:rPr>
        <w:t xml:space="preserve"> y las de esta investigación son las más altas, en comparación de otros países. Esto</w:t>
      </w:r>
      <w:r>
        <w:rPr>
          <w:rFonts w:ascii="Arial" w:hAnsi="Arial" w:cs="Arial"/>
          <w:sz w:val="24"/>
          <w:szCs w:val="24"/>
        </w:rPr>
        <w:t xml:space="preserve"> refleja el mal manejo o nulo de las buenas prácticas agrícolas y el manejo posterior a la cosecha, consistentes en técnicas apropiadas de secado, clasificación, transporte y almacenamiento (</w:t>
      </w:r>
      <w:proofErr w:type="spellStart"/>
      <w:r>
        <w:rPr>
          <w:rFonts w:ascii="Arial" w:hAnsi="Arial" w:cs="Arial"/>
          <w:sz w:val="24"/>
          <w:szCs w:val="24"/>
        </w:rPr>
        <w:t>Malir</w:t>
      </w:r>
      <w:proofErr w:type="spellEnd"/>
      <w:r>
        <w:rPr>
          <w:rFonts w:ascii="Arial" w:hAnsi="Arial" w:cs="Arial"/>
          <w:sz w:val="24"/>
          <w:szCs w:val="24"/>
        </w:rPr>
        <w:t xml:space="preserve"> et al. 2014). </w:t>
      </w:r>
    </w:p>
    <w:p w:rsidR="002C3F1F" w:rsidRPr="00C852A6" w:rsidRDefault="002C3F1F" w:rsidP="00C852A6">
      <w:pPr>
        <w:pStyle w:val="Prrafodelista"/>
        <w:numPr>
          <w:ilvl w:val="0"/>
          <w:numId w:val="3"/>
        </w:numPr>
        <w:spacing w:line="360" w:lineRule="auto"/>
        <w:jc w:val="both"/>
        <w:rPr>
          <w:rFonts w:ascii="Arial" w:hAnsi="Arial" w:cs="Arial"/>
          <w:b/>
          <w:sz w:val="24"/>
          <w:szCs w:val="24"/>
        </w:rPr>
      </w:pPr>
      <w:r w:rsidRPr="00C852A6">
        <w:rPr>
          <w:rFonts w:ascii="Arial" w:hAnsi="Arial" w:cs="Arial"/>
          <w:b/>
          <w:sz w:val="24"/>
          <w:szCs w:val="24"/>
        </w:rPr>
        <w:t>CONCLUSIÓN</w:t>
      </w:r>
    </w:p>
    <w:p w:rsidR="002C3F1F" w:rsidRDefault="002C3F1F" w:rsidP="002C3F1F">
      <w:pPr>
        <w:spacing w:line="360" w:lineRule="auto"/>
        <w:jc w:val="both"/>
        <w:rPr>
          <w:rFonts w:ascii="Arial" w:hAnsi="Arial" w:cs="Arial"/>
          <w:sz w:val="24"/>
          <w:szCs w:val="24"/>
        </w:rPr>
      </w:pPr>
      <w:r>
        <w:rPr>
          <w:rFonts w:ascii="Arial" w:hAnsi="Arial" w:cs="Arial"/>
          <w:sz w:val="24"/>
          <w:szCs w:val="24"/>
        </w:rPr>
        <w:t xml:space="preserve">El análisis de muestras de café expendido en el estado de Nayarit muestra la presencia de Ocratoxina A en concentraciones mayores a los límites permisibles en las normas internacionales. </w:t>
      </w:r>
    </w:p>
    <w:p w:rsidR="002C3F1F" w:rsidRPr="004F4B55" w:rsidRDefault="002C3F1F" w:rsidP="002C3F1F">
      <w:pPr>
        <w:spacing w:line="360" w:lineRule="auto"/>
        <w:jc w:val="both"/>
        <w:rPr>
          <w:rFonts w:ascii="Arial" w:hAnsi="Arial" w:cs="Arial"/>
          <w:sz w:val="24"/>
          <w:szCs w:val="24"/>
        </w:rPr>
      </w:pPr>
      <w:r>
        <w:rPr>
          <w:rFonts w:ascii="Arial" w:hAnsi="Arial" w:cs="Arial"/>
          <w:sz w:val="24"/>
          <w:szCs w:val="24"/>
        </w:rPr>
        <w:t>Con esta investigación se demuestra la necesidad de implementar prácticas para prevenir y reducir las concentraciones de OTA para evitar efectos perjudiciales por el consumo de alimentos contaminados con micotoxinas.</w:t>
      </w:r>
    </w:p>
    <w:p w:rsidR="002C3F1F" w:rsidRPr="00C852A6" w:rsidRDefault="00C852A6" w:rsidP="00C852A6">
      <w:pPr>
        <w:pStyle w:val="Prrafodelista"/>
        <w:numPr>
          <w:ilvl w:val="0"/>
          <w:numId w:val="3"/>
        </w:numPr>
        <w:spacing w:line="360" w:lineRule="auto"/>
        <w:rPr>
          <w:rFonts w:ascii="Arial" w:hAnsi="Arial" w:cs="Arial"/>
          <w:b/>
          <w:sz w:val="24"/>
          <w:szCs w:val="24"/>
        </w:rPr>
      </w:pPr>
      <w:r w:rsidRPr="00C852A6">
        <w:rPr>
          <w:rFonts w:ascii="Arial" w:hAnsi="Arial" w:cs="Arial"/>
          <w:b/>
          <w:sz w:val="24"/>
          <w:szCs w:val="24"/>
        </w:rPr>
        <w:t>REFERENCIAS</w:t>
      </w:r>
    </w:p>
    <w:p w:rsidR="00A07B2D" w:rsidRPr="00C12BE0" w:rsidRDefault="002C3F1F" w:rsidP="00A07B2D">
      <w:pPr>
        <w:pStyle w:val="Bibliografa"/>
        <w:spacing w:line="360" w:lineRule="auto"/>
        <w:ind w:left="720" w:hanging="720"/>
        <w:jc w:val="both"/>
        <w:rPr>
          <w:rFonts w:ascii="Arial" w:hAnsi="Arial" w:cs="Arial"/>
          <w:noProof/>
          <w:sz w:val="24"/>
          <w:szCs w:val="24"/>
        </w:rPr>
      </w:pPr>
      <w:r w:rsidRPr="00C12BE0">
        <w:rPr>
          <w:rFonts w:ascii="Arial" w:hAnsi="Arial" w:cs="Arial"/>
          <w:sz w:val="24"/>
          <w:szCs w:val="24"/>
        </w:rPr>
        <w:fldChar w:fldCharType="begin"/>
      </w:r>
      <w:r w:rsidRPr="00C12BE0">
        <w:rPr>
          <w:rFonts w:ascii="Arial" w:hAnsi="Arial" w:cs="Arial"/>
          <w:sz w:val="24"/>
          <w:szCs w:val="24"/>
        </w:rPr>
        <w:instrText>BIBLIOGRAPHY</w:instrText>
      </w:r>
      <w:r w:rsidRPr="00C12BE0">
        <w:rPr>
          <w:rFonts w:ascii="Arial" w:hAnsi="Arial" w:cs="Arial"/>
          <w:sz w:val="24"/>
          <w:szCs w:val="24"/>
        </w:rPr>
        <w:fldChar w:fldCharType="separate"/>
      </w:r>
      <w:r w:rsidR="00A07B2D" w:rsidRPr="00C12BE0">
        <w:rPr>
          <w:rFonts w:ascii="Arial" w:hAnsi="Arial" w:cs="Arial"/>
          <w:noProof/>
          <w:sz w:val="24"/>
          <w:szCs w:val="24"/>
        </w:rPr>
        <w:t>Abreu, A. R., et</w:t>
      </w:r>
      <w:r w:rsidRPr="00C12BE0">
        <w:rPr>
          <w:rFonts w:ascii="Arial" w:hAnsi="Arial" w:cs="Arial"/>
          <w:noProof/>
          <w:sz w:val="24"/>
          <w:szCs w:val="24"/>
        </w:rPr>
        <w:t xml:space="preserve"> al., e. (2011). La ocratoxina A en alimentos de consumo humano: revisión. </w:t>
      </w:r>
      <w:r w:rsidRPr="00C12BE0">
        <w:rPr>
          <w:rFonts w:ascii="Arial" w:hAnsi="Arial" w:cs="Arial"/>
          <w:i/>
          <w:iCs/>
          <w:noProof/>
          <w:sz w:val="24"/>
          <w:szCs w:val="24"/>
        </w:rPr>
        <w:t>nutrición hospilataria</w:t>
      </w:r>
      <w:r w:rsidRPr="00C12BE0">
        <w:rPr>
          <w:rFonts w:ascii="Arial" w:hAnsi="Arial" w:cs="Arial"/>
          <w:noProof/>
          <w:sz w:val="24"/>
          <w:szCs w:val="24"/>
        </w:rPr>
        <w:t>, 1215-1226.</w:t>
      </w:r>
    </w:p>
    <w:p w:rsidR="00A07B2D" w:rsidRPr="00D71C21" w:rsidRDefault="00A07B2D" w:rsidP="00A07B2D">
      <w:pPr>
        <w:pStyle w:val="Bibliografa"/>
        <w:spacing w:line="360" w:lineRule="auto"/>
        <w:ind w:left="720" w:hanging="720"/>
        <w:jc w:val="both"/>
        <w:rPr>
          <w:rFonts w:ascii="Arial" w:hAnsi="Arial" w:cs="Arial"/>
          <w:noProof/>
          <w:sz w:val="24"/>
          <w:szCs w:val="24"/>
          <w:lang w:val="en-US"/>
        </w:rPr>
      </w:pPr>
      <w:r w:rsidRPr="00C12BE0">
        <w:rPr>
          <w:rFonts w:ascii="Arial" w:hAnsi="Arial" w:cs="Arial"/>
          <w:sz w:val="24"/>
          <w:szCs w:val="24"/>
        </w:rPr>
        <w:t xml:space="preserve">Alvarez, P; et al (2015). Presencia de Ocratoxina A en ganos de cafpe de Atoyac de Álvarez. </w:t>
      </w:r>
      <w:r w:rsidRPr="00D71C21">
        <w:rPr>
          <w:rFonts w:ascii="Arial" w:hAnsi="Arial" w:cs="Arial"/>
          <w:i/>
          <w:sz w:val="24"/>
          <w:szCs w:val="24"/>
          <w:lang w:val="en-US"/>
        </w:rPr>
        <w:t>Revista de Simulación y Laboratorio</w:t>
      </w:r>
      <w:r w:rsidRPr="00D71C21">
        <w:rPr>
          <w:rFonts w:ascii="Arial" w:hAnsi="Arial" w:cs="Arial"/>
          <w:sz w:val="24"/>
          <w:szCs w:val="24"/>
          <w:lang w:val="en-US"/>
        </w:rPr>
        <w:t>. 36-40</w:t>
      </w:r>
    </w:p>
    <w:p w:rsidR="002C3F1F" w:rsidRPr="00D71C21" w:rsidRDefault="002C3F1F" w:rsidP="00A07B2D">
      <w:pPr>
        <w:pStyle w:val="Bibliografa"/>
        <w:spacing w:line="360" w:lineRule="auto"/>
        <w:ind w:left="720" w:hanging="720"/>
        <w:jc w:val="both"/>
        <w:rPr>
          <w:rFonts w:ascii="Arial" w:hAnsi="Arial" w:cs="Arial"/>
          <w:noProof/>
          <w:sz w:val="24"/>
          <w:szCs w:val="24"/>
          <w:lang w:val="en-US"/>
        </w:rPr>
      </w:pPr>
      <w:r w:rsidRPr="00D71C21">
        <w:rPr>
          <w:rFonts w:ascii="Arial" w:hAnsi="Arial" w:cs="Arial"/>
          <w:noProof/>
          <w:sz w:val="24"/>
          <w:szCs w:val="24"/>
          <w:lang w:val="en-US"/>
        </w:rPr>
        <w:t xml:space="preserve">BandeiraI, R., </w:t>
      </w:r>
      <w:r w:rsidR="00A07B2D" w:rsidRPr="00D71C21">
        <w:rPr>
          <w:rFonts w:ascii="Arial" w:hAnsi="Arial" w:cs="Arial"/>
          <w:noProof/>
          <w:sz w:val="24"/>
          <w:szCs w:val="24"/>
          <w:lang w:val="en-US"/>
        </w:rPr>
        <w:t xml:space="preserve">et al. </w:t>
      </w:r>
      <w:r w:rsidRPr="00D71C21">
        <w:rPr>
          <w:rFonts w:ascii="Arial" w:hAnsi="Arial" w:cs="Arial"/>
          <w:noProof/>
          <w:sz w:val="24"/>
          <w:szCs w:val="24"/>
          <w:lang w:val="en-US"/>
        </w:rPr>
        <w:t xml:space="preserve">( 2012). Development and validation of a method for the analysis of Ochratoxin A in roasted coffee by liquid chromatography/electrospray-mass spectrometry in Tandem (LC/ESI-MS/MS). </w:t>
      </w:r>
      <w:r w:rsidRPr="00D71C21">
        <w:rPr>
          <w:rFonts w:ascii="Arial" w:hAnsi="Arial" w:cs="Arial"/>
          <w:i/>
          <w:iCs/>
          <w:noProof/>
          <w:sz w:val="24"/>
          <w:szCs w:val="24"/>
          <w:lang w:val="en-US"/>
        </w:rPr>
        <w:t>Quím. Nova v</w:t>
      </w:r>
      <w:r w:rsidRPr="00D71C21">
        <w:rPr>
          <w:rFonts w:ascii="Arial" w:hAnsi="Arial" w:cs="Arial"/>
          <w:noProof/>
          <w:sz w:val="24"/>
          <w:szCs w:val="24"/>
          <w:lang w:val="en-US"/>
        </w:rPr>
        <w:t>.</w:t>
      </w:r>
    </w:p>
    <w:p w:rsidR="002C3F1F" w:rsidRPr="00C12BE0" w:rsidRDefault="002C3F1F" w:rsidP="00A07B2D">
      <w:pPr>
        <w:pStyle w:val="Bibliografa"/>
        <w:spacing w:line="360" w:lineRule="auto"/>
        <w:ind w:left="720" w:hanging="720"/>
        <w:jc w:val="both"/>
        <w:rPr>
          <w:rFonts w:ascii="Arial" w:hAnsi="Arial" w:cs="Arial"/>
          <w:noProof/>
          <w:sz w:val="24"/>
          <w:szCs w:val="24"/>
        </w:rPr>
      </w:pPr>
      <w:r w:rsidRPr="00C12BE0">
        <w:rPr>
          <w:rFonts w:ascii="Arial" w:hAnsi="Arial" w:cs="Arial"/>
          <w:noProof/>
          <w:sz w:val="24"/>
          <w:szCs w:val="24"/>
        </w:rPr>
        <w:t xml:space="preserve">Camean, M., &amp; Jiménez, M. R. (2012). </w:t>
      </w:r>
      <w:r w:rsidRPr="00C12BE0">
        <w:rPr>
          <w:rFonts w:ascii="Arial" w:hAnsi="Arial" w:cs="Arial"/>
          <w:i/>
          <w:iCs/>
          <w:noProof/>
          <w:sz w:val="24"/>
          <w:szCs w:val="24"/>
        </w:rPr>
        <w:t>Toxicología alimentaria.</w:t>
      </w:r>
      <w:r w:rsidRPr="00C12BE0">
        <w:rPr>
          <w:rFonts w:ascii="Arial" w:hAnsi="Arial" w:cs="Arial"/>
          <w:noProof/>
          <w:sz w:val="24"/>
          <w:szCs w:val="24"/>
        </w:rPr>
        <w:t xml:space="preserve"> Madrid: Ediciones Diaz de Santos.</w:t>
      </w:r>
    </w:p>
    <w:p w:rsidR="002C3F1F" w:rsidRPr="00D71C21" w:rsidRDefault="002C3F1F" w:rsidP="00A07B2D">
      <w:pPr>
        <w:pStyle w:val="Bibliografa"/>
        <w:spacing w:line="360" w:lineRule="auto"/>
        <w:ind w:left="720" w:hanging="720"/>
        <w:jc w:val="both"/>
        <w:rPr>
          <w:rFonts w:ascii="Arial" w:hAnsi="Arial" w:cs="Arial"/>
          <w:noProof/>
          <w:sz w:val="24"/>
          <w:szCs w:val="24"/>
          <w:lang w:val="en-US"/>
        </w:rPr>
      </w:pPr>
      <w:r w:rsidRPr="00C12BE0">
        <w:rPr>
          <w:rFonts w:ascii="Arial" w:hAnsi="Arial" w:cs="Arial"/>
          <w:noProof/>
          <w:sz w:val="24"/>
          <w:szCs w:val="24"/>
        </w:rPr>
        <w:t xml:space="preserve">Diario Oficial de la Union Europea. (2006). </w:t>
      </w:r>
      <w:r w:rsidR="00A07B2D" w:rsidRPr="00C12BE0">
        <w:rPr>
          <w:rFonts w:ascii="Arial" w:hAnsi="Arial" w:cs="Arial"/>
          <w:noProof/>
          <w:sz w:val="24"/>
          <w:szCs w:val="24"/>
        </w:rPr>
        <w:t>reglamento (ce) no 1881/2006 de la comisión</w:t>
      </w:r>
      <w:r w:rsidRPr="00C12BE0">
        <w:rPr>
          <w:rFonts w:ascii="Arial" w:hAnsi="Arial" w:cs="Arial"/>
          <w:noProof/>
          <w:sz w:val="24"/>
          <w:szCs w:val="24"/>
        </w:rPr>
        <w:t xml:space="preserve"> por el que se fija el contenido máximo de determinados contaminantes en los productos alimenticios . </w:t>
      </w:r>
      <w:r w:rsidRPr="00D71C21">
        <w:rPr>
          <w:rFonts w:ascii="Arial" w:hAnsi="Arial" w:cs="Arial"/>
          <w:i/>
          <w:iCs/>
          <w:noProof/>
          <w:sz w:val="24"/>
          <w:szCs w:val="24"/>
          <w:lang w:val="en-US"/>
        </w:rPr>
        <w:t>Doc L364</w:t>
      </w:r>
      <w:r w:rsidRPr="00D71C21">
        <w:rPr>
          <w:rFonts w:ascii="Arial" w:hAnsi="Arial" w:cs="Arial"/>
          <w:noProof/>
          <w:sz w:val="24"/>
          <w:szCs w:val="24"/>
          <w:lang w:val="en-US"/>
        </w:rPr>
        <w:t>, 16.</w:t>
      </w:r>
    </w:p>
    <w:p w:rsidR="002C3F1F" w:rsidRPr="00C12BE0" w:rsidRDefault="002C3F1F" w:rsidP="00A07B2D">
      <w:pPr>
        <w:pStyle w:val="Bibliografa"/>
        <w:spacing w:line="360" w:lineRule="auto"/>
        <w:ind w:left="720" w:hanging="720"/>
        <w:jc w:val="both"/>
        <w:rPr>
          <w:rFonts w:ascii="Arial" w:hAnsi="Arial" w:cs="Arial"/>
          <w:noProof/>
          <w:sz w:val="24"/>
          <w:szCs w:val="24"/>
        </w:rPr>
      </w:pPr>
      <w:r w:rsidRPr="00D71C21">
        <w:rPr>
          <w:rFonts w:ascii="Arial" w:hAnsi="Arial" w:cs="Arial"/>
          <w:noProof/>
          <w:sz w:val="24"/>
          <w:szCs w:val="24"/>
          <w:lang w:val="en-US"/>
        </w:rPr>
        <w:t xml:space="preserve">Drunday, V., &amp; Pacin, A. (2013, ). Occurrence of Ochratoxin A in coffee beans, ground roasted coffee and soluble coffee and method validation. </w:t>
      </w:r>
      <w:r w:rsidRPr="00C12BE0">
        <w:rPr>
          <w:rFonts w:ascii="Arial" w:hAnsi="Arial" w:cs="Arial"/>
          <w:i/>
          <w:iCs/>
          <w:noProof/>
          <w:sz w:val="24"/>
          <w:szCs w:val="24"/>
        </w:rPr>
        <w:t>Food Control</w:t>
      </w:r>
      <w:r w:rsidRPr="00C12BE0">
        <w:rPr>
          <w:rFonts w:ascii="Arial" w:hAnsi="Arial" w:cs="Arial"/>
          <w:noProof/>
          <w:sz w:val="24"/>
          <w:szCs w:val="24"/>
        </w:rPr>
        <w:t>, 675-678.</w:t>
      </w:r>
    </w:p>
    <w:p w:rsidR="002C3F1F" w:rsidRPr="00C12BE0" w:rsidRDefault="002C3F1F" w:rsidP="00A07B2D">
      <w:pPr>
        <w:pStyle w:val="Bibliografa"/>
        <w:spacing w:line="360" w:lineRule="auto"/>
        <w:ind w:left="720" w:hanging="720"/>
        <w:jc w:val="both"/>
        <w:rPr>
          <w:rFonts w:ascii="Arial" w:hAnsi="Arial" w:cs="Arial"/>
          <w:noProof/>
          <w:sz w:val="24"/>
          <w:szCs w:val="24"/>
        </w:rPr>
      </w:pPr>
      <w:r w:rsidRPr="00C12BE0">
        <w:rPr>
          <w:rFonts w:ascii="Arial" w:hAnsi="Arial" w:cs="Arial"/>
          <w:noProof/>
          <w:sz w:val="24"/>
          <w:szCs w:val="24"/>
        </w:rPr>
        <w:t xml:space="preserve">Fideicomisos Instituidos en Relación con la Agricultura (FIRA). (2015). </w:t>
      </w:r>
      <w:r w:rsidRPr="00C12BE0">
        <w:rPr>
          <w:rFonts w:ascii="Arial" w:hAnsi="Arial" w:cs="Arial"/>
          <w:i/>
          <w:iCs/>
          <w:noProof/>
          <w:sz w:val="24"/>
          <w:szCs w:val="24"/>
        </w:rPr>
        <w:t>Panorama Agroalimentario.</w:t>
      </w:r>
      <w:r w:rsidRPr="00C12BE0">
        <w:rPr>
          <w:rFonts w:ascii="Arial" w:hAnsi="Arial" w:cs="Arial"/>
          <w:noProof/>
          <w:sz w:val="24"/>
          <w:szCs w:val="24"/>
        </w:rPr>
        <w:t xml:space="preserve"> FIRA.</w:t>
      </w:r>
    </w:p>
    <w:p w:rsidR="002C3F1F" w:rsidRPr="00C12BE0" w:rsidRDefault="002C3F1F" w:rsidP="00A07B2D">
      <w:pPr>
        <w:pStyle w:val="Bibliografa"/>
        <w:spacing w:line="360" w:lineRule="auto"/>
        <w:ind w:left="720" w:hanging="720"/>
        <w:jc w:val="both"/>
        <w:rPr>
          <w:rFonts w:ascii="Arial" w:hAnsi="Arial" w:cs="Arial"/>
          <w:noProof/>
          <w:sz w:val="24"/>
          <w:szCs w:val="24"/>
        </w:rPr>
      </w:pPr>
      <w:r w:rsidRPr="00C12BE0">
        <w:rPr>
          <w:rFonts w:ascii="Arial" w:hAnsi="Arial" w:cs="Arial"/>
          <w:noProof/>
          <w:sz w:val="24"/>
          <w:szCs w:val="24"/>
        </w:rPr>
        <w:t xml:space="preserve">Franco, H. V. (2014). Niveles de Ocratoxina A y Aflatoxinas totales en cafés de exportación de Panamá por un método de ELISA. </w:t>
      </w:r>
      <w:r w:rsidRPr="00C12BE0">
        <w:rPr>
          <w:rFonts w:ascii="Arial" w:hAnsi="Arial" w:cs="Arial"/>
          <w:i/>
          <w:iCs/>
          <w:noProof/>
          <w:sz w:val="24"/>
          <w:szCs w:val="24"/>
        </w:rPr>
        <w:t>Archivos Latinoamericanos de Nutrición</w:t>
      </w:r>
      <w:r w:rsidRPr="00C12BE0">
        <w:rPr>
          <w:rFonts w:ascii="Arial" w:hAnsi="Arial" w:cs="Arial"/>
          <w:noProof/>
          <w:sz w:val="24"/>
          <w:szCs w:val="24"/>
        </w:rPr>
        <w:t>, 42-49.</w:t>
      </w:r>
    </w:p>
    <w:p w:rsidR="002C3F1F" w:rsidRPr="00C12BE0" w:rsidRDefault="002C3F1F" w:rsidP="00A07B2D">
      <w:pPr>
        <w:pStyle w:val="Bibliografa"/>
        <w:spacing w:line="360" w:lineRule="auto"/>
        <w:ind w:left="720" w:hanging="720"/>
        <w:jc w:val="both"/>
        <w:rPr>
          <w:rFonts w:ascii="Arial" w:hAnsi="Arial" w:cs="Arial"/>
          <w:noProof/>
          <w:sz w:val="24"/>
          <w:szCs w:val="24"/>
        </w:rPr>
      </w:pPr>
      <w:r w:rsidRPr="00C12BE0">
        <w:rPr>
          <w:rFonts w:ascii="Arial" w:hAnsi="Arial" w:cs="Arial"/>
          <w:noProof/>
          <w:sz w:val="24"/>
          <w:szCs w:val="24"/>
        </w:rPr>
        <w:t xml:space="preserve">Hernandez, A. G. (2010). </w:t>
      </w:r>
      <w:r w:rsidRPr="00C12BE0">
        <w:rPr>
          <w:rFonts w:ascii="Arial" w:hAnsi="Arial" w:cs="Arial"/>
          <w:i/>
          <w:iCs/>
          <w:noProof/>
          <w:sz w:val="24"/>
          <w:szCs w:val="24"/>
        </w:rPr>
        <w:t>Tratado de nutrición. Composición y calidad nutritiva de los alimentos.</w:t>
      </w:r>
      <w:r w:rsidRPr="00C12BE0">
        <w:rPr>
          <w:rFonts w:ascii="Arial" w:hAnsi="Arial" w:cs="Arial"/>
          <w:noProof/>
          <w:sz w:val="24"/>
          <w:szCs w:val="24"/>
        </w:rPr>
        <w:t xml:space="preserve"> Madid: Editorial panamericana.</w:t>
      </w:r>
    </w:p>
    <w:p w:rsidR="002C3F1F" w:rsidRPr="00C12BE0" w:rsidRDefault="002C3F1F" w:rsidP="00A07B2D">
      <w:pPr>
        <w:pStyle w:val="Bibliografa"/>
        <w:spacing w:line="360" w:lineRule="auto"/>
        <w:ind w:left="720" w:hanging="720"/>
        <w:jc w:val="both"/>
        <w:rPr>
          <w:rFonts w:ascii="Arial" w:hAnsi="Arial" w:cs="Arial"/>
          <w:noProof/>
          <w:sz w:val="24"/>
          <w:szCs w:val="24"/>
        </w:rPr>
      </w:pPr>
      <w:r w:rsidRPr="00C12BE0">
        <w:rPr>
          <w:rFonts w:ascii="Arial" w:hAnsi="Arial" w:cs="Arial"/>
          <w:noProof/>
          <w:sz w:val="24"/>
          <w:szCs w:val="24"/>
        </w:rPr>
        <w:t xml:space="preserve">IARC. (1993). " Algunas sustancias de origen natural: los alimentos y constituyentes, aminas aromáticas heterocíclicas y micotoxinas ". </w:t>
      </w:r>
      <w:r w:rsidRPr="00C12BE0">
        <w:rPr>
          <w:rFonts w:ascii="Arial" w:hAnsi="Arial" w:cs="Arial"/>
          <w:i/>
          <w:iCs/>
          <w:noProof/>
          <w:sz w:val="24"/>
          <w:szCs w:val="24"/>
        </w:rPr>
        <w:t>en CIIC Monografías sobre la evaluación de los riesgos carcinogénicos para los humanos</w:t>
      </w:r>
      <w:r w:rsidRPr="00C12BE0">
        <w:rPr>
          <w:rFonts w:ascii="Arial" w:hAnsi="Arial" w:cs="Arial"/>
          <w:noProof/>
          <w:sz w:val="24"/>
          <w:szCs w:val="24"/>
        </w:rPr>
        <w:t>, 489-521.</w:t>
      </w:r>
    </w:p>
    <w:p w:rsidR="002C3F1F" w:rsidRPr="00D71C21" w:rsidRDefault="002C3F1F" w:rsidP="00A07B2D">
      <w:pPr>
        <w:pStyle w:val="Bibliografa"/>
        <w:spacing w:line="360" w:lineRule="auto"/>
        <w:ind w:left="720" w:hanging="720"/>
        <w:jc w:val="both"/>
        <w:rPr>
          <w:rFonts w:ascii="Arial" w:hAnsi="Arial" w:cs="Arial"/>
          <w:noProof/>
          <w:sz w:val="24"/>
          <w:szCs w:val="24"/>
          <w:lang w:val="en-US"/>
        </w:rPr>
      </w:pPr>
      <w:r w:rsidRPr="00D71C21">
        <w:rPr>
          <w:rFonts w:ascii="Arial" w:hAnsi="Arial" w:cs="Arial"/>
          <w:noProof/>
          <w:sz w:val="24"/>
          <w:szCs w:val="24"/>
          <w:lang w:val="en-US"/>
        </w:rPr>
        <w:t xml:space="preserve">Kabak. (2009). Ochratoxin A in cereal-derived products in Turkey: occurrence and exposure assessment. </w:t>
      </w:r>
      <w:r w:rsidRPr="00D71C21">
        <w:rPr>
          <w:rFonts w:ascii="Arial" w:hAnsi="Arial" w:cs="Arial"/>
          <w:i/>
          <w:iCs/>
          <w:noProof/>
          <w:sz w:val="24"/>
          <w:szCs w:val="24"/>
          <w:lang w:val="en-US"/>
        </w:rPr>
        <w:t>Food Chem Toxicol.</w:t>
      </w:r>
      <w:r w:rsidRPr="00D71C21">
        <w:rPr>
          <w:rFonts w:ascii="Arial" w:hAnsi="Arial" w:cs="Arial"/>
          <w:noProof/>
          <w:sz w:val="24"/>
          <w:szCs w:val="24"/>
          <w:lang w:val="en-US"/>
        </w:rPr>
        <w:t>, 348-52.</w:t>
      </w:r>
    </w:p>
    <w:p w:rsidR="002C3F1F" w:rsidRPr="00D71C21" w:rsidRDefault="002C3F1F" w:rsidP="00A07B2D">
      <w:pPr>
        <w:pStyle w:val="Bibliografa"/>
        <w:spacing w:line="360" w:lineRule="auto"/>
        <w:ind w:left="720" w:hanging="720"/>
        <w:jc w:val="both"/>
        <w:rPr>
          <w:rFonts w:ascii="Arial" w:hAnsi="Arial" w:cs="Arial"/>
          <w:noProof/>
          <w:sz w:val="24"/>
          <w:szCs w:val="24"/>
          <w:lang w:val="en-US"/>
        </w:rPr>
      </w:pPr>
      <w:r w:rsidRPr="00D71C21">
        <w:rPr>
          <w:rFonts w:ascii="Arial" w:hAnsi="Arial" w:cs="Arial"/>
          <w:noProof/>
          <w:sz w:val="24"/>
          <w:szCs w:val="24"/>
          <w:lang w:val="en-US"/>
        </w:rPr>
        <w:t xml:space="preserve">Liuzzi, V. C., &amp; al., e. (2016). Transcriptional Analysis of Acinetobacter sp. neg1 Capable of Degrading Ochratoxin A. </w:t>
      </w:r>
      <w:r w:rsidRPr="00D71C21">
        <w:rPr>
          <w:rFonts w:ascii="Arial" w:hAnsi="Arial" w:cs="Arial"/>
          <w:i/>
          <w:iCs/>
          <w:noProof/>
          <w:sz w:val="24"/>
          <w:szCs w:val="24"/>
          <w:lang w:val="en-US"/>
        </w:rPr>
        <w:t>Frontiers in Microbiology</w:t>
      </w:r>
      <w:r w:rsidRPr="00D71C21">
        <w:rPr>
          <w:rFonts w:ascii="Arial" w:hAnsi="Arial" w:cs="Arial"/>
          <w:noProof/>
          <w:sz w:val="24"/>
          <w:szCs w:val="24"/>
          <w:lang w:val="en-US"/>
        </w:rPr>
        <w:t>.</w:t>
      </w:r>
    </w:p>
    <w:p w:rsidR="002C3F1F" w:rsidRPr="00D71C21" w:rsidRDefault="002C3F1F" w:rsidP="00A07B2D">
      <w:pPr>
        <w:pStyle w:val="Bibliografa"/>
        <w:spacing w:line="360" w:lineRule="auto"/>
        <w:ind w:left="720" w:hanging="720"/>
        <w:jc w:val="both"/>
        <w:rPr>
          <w:rFonts w:ascii="Arial" w:hAnsi="Arial" w:cs="Arial"/>
          <w:noProof/>
          <w:sz w:val="24"/>
          <w:szCs w:val="24"/>
          <w:lang w:val="en-US"/>
        </w:rPr>
      </w:pPr>
      <w:r w:rsidRPr="00D71C21">
        <w:rPr>
          <w:rFonts w:ascii="Arial" w:hAnsi="Arial" w:cs="Arial"/>
          <w:noProof/>
          <w:sz w:val="24"/>
          <w:szCs w:val="24"/>
          <w:lang w:val="en-US"/>
        </w:rPr>
        <w:t xml:space="preserve">Lombaert GA, P. P. (2002.). Survey of Canadian retail coffees for ochratoxin A. </w:t>
      </w:r>
      <w:r w:rsidRPr="00D71C21">
        <w:rPr>
          <w:rFonts w:ascii="Arial" w:hAnsi="Arial" w:cs="Arial"/>
          <w:i/>
          <w:iCs/>
          <w:noProof/>
          <w:sz w:val="24"/>
          <w:szCs w:val="24"/>
          <w:lang w:val="en-US"/>
        </w:rPr>
        <w:t>Food Additives &amp; Contaminants</w:t>
      </w:r>
      <w:r w:rsidRPr="00D71C21">
        <w:rPr>
          <w:rFonts w:ascii="Arial" w:hAnsi="Arial" w:cs="Arial"/>
          <w:noProof/>
          <w:sz w:val="24"/>
          <w:szCs w:val="24"/>
          <w:lang w:val="en-US"/>
        </w:rPr>
        <w:t>, 869-77.</w:t>
      </w:r>
    </w:p>
    <w:p w:rsidR="002C3F1F" w:rsidRPr="00D71C21" w:rsidRDefault="002C3F1F" w:rsidP="00A07B2D">
      <w:pPr>
        <w:pStyle w:val="Bibliografa"/>
        <w:spacing w:line="360" w:lineRule="auto"/>
        <w:ind w:left="720" w:hanging="720"/>
        <w:jc w:val="both"/>
        <w:rPr>
          <w:rFonts w:ascii="Arial" w:hAnsi="Arial" w:cs="Arial"/>
          <w:noProof/>
          <w:sz w:val="24"/>
          <w:szCs w:val="24"/>
          <w:lang w:val="en-US"/>
        </w:rPr>
      </w:pPr>
      <w:r w:rsidRPr="00D71C21">
        <w:rPr>
          <w:rFonts w:ascii="Arial" w:hAnsi="Arial" w:cs="Arial"/>
          <w:noProof/>
          <w:sz w:val="24"/>
          <w:szCs w:val="24"/>
          <w:lang w:val="en-US"/>
        </w:rPr>
        <w:t xml:space="preserve">M.B. Coronel, S. M. (2011). Ochratoxin A in Spanish retail ground roasted coffee: Occurrence. </w:t>
      </w:r>
      <w:r w:rsidRPr="00D71C21">
        <w:rPr>
          <w:rFonts w:ascii="Arial" w:hAnsi="Arial" w:cs="Arial"/>
          <w:i/>
          <w:iCs/>
          <w:noProof/>
          <w:sz w:val="24"/>
          <w:szCs w:val="24"/>
          <w:lang w:val="en-US"/>
        </w:rPr>
        <w:t>Food Control</w:t>
      </w:r>
      <w:r w:rsidRPr="00D71C21">
        <w:rPr>
          <w:rFonts w:ascii="Arial" w:hAnsi="Arial" w:cs="Arial"/>
          <w:noProof/>
          <w:sz w:val="24"/>
          <w:szCs w:val="24"/>
          <w:lang w:val="en-US"/>
        </w:rPr>
        <w:t>, 414-419.</w:t>
      </w:r>
    </w:p>
    <w:p w:rsidR="002C3F1F" w:rsidRPr="00D71C21" w:rsidRDefault="002C3F1F" w:rsidP="00A07B2D">
      <w:pPr>
        <w:pStyle w:val="Bibliografa"/>
        <w:spacing w:line="360" w:lineRule="auto"/>
        <w:ind w:left="720" w:hanging="720"/>
        <w:jc w:val="both"/>
        <w:rPr>
          <w:rFonts w:ascii="Arial" w:hAnsi="Arial" w:cs="Arial"/>
          <w:noProof/>
          <w:sz w:val="24"/>
          <w:szCs w:val="24"/>
          <w:lang w:val="en-US"/>
        </w:rPr>
      </w:pPr>
      <w:r w:rsidRPr="00D71C21">
        <w:rPr>
          <w:rFonts w:ascii="Arial" w:hAnsi="Arial" w:cs="Arial"/>
          <w:noProof/>
          <w:sz w:val="24"/>
          <w:szCs w:val="24"/>
          <w:lang w:val="en-US"/>
        </w:rPr>
        <w:t xml:space="preserve">Malir, F., Ostry, V., Pfohl-Leszkowicz, A., Toman, J., Bazin, I., &amp; Roubal., T. (2014 ). Transfer of Ochratoxin A into Tea and Coffee Beverages. </w:t>
      </w:r>
      <w:r w:rsidRPr="00D71C21">
        <w:rPr>
          <w:rFonts w:ascii="Arial" w:hAnsi="Arial" w:cs="Arial"/>
          <w:i/>
          <w:iCs/>
          <w:noProof/>
          <w:sz w:val="24"/>
          <w:szCs w:val="24"/>
          <w:lang w:val="en-US"/>
        </w:rPr>
        <w:t xml:space="preserve">Toxins (Basel). </w:t>
      </w:r>
      <w:r w:rsidRPr="00D71C21">
        <w:rPr>
          <w:rFonts w:ascii="Arial" w:hAnsi="Arial" w:cs="Arial"/>
          <w:noProof/>
          <w:sz w:val="24"/>
          <w:szCs w:val="24"/>
          <w:lang w:val="en-US"/>
        </w:rPr>
        <w:t>, 3438–3453.</w:t>
      </w:r>
    </w:p>
    <w:p w:rsidR="002C3F1F" w:rsidRPr="00D71C21" w:rsidRDefault="002C3F1F" w:rsidP="00A07B2D">
      <w:pPr>
        <w:pStyle w:val="Bibliografa"/>
        <w:spacing w:line="360" w:lineRule="auto"/>
        <w:ind w:left="720" w:hanging="720"/>
        <w:jc w:val="both"/>
        <w:rPr>
          <w:rFonts w:ascii="Arial" w:hAnsi="Arial" w:cs="Arial"/>
          <w:noProof/>
          <w:sz w:val="24"/>
          <w:szCs w:val="24"/>
          <w:lang w:val="en-US"/>
        </w:rPr>
      </w:pPr>
      <w:r w:rsidRPr="00C12BE0">
        <w:rPr>
          <w:rFonts w:ascii="Arial" w:hAnsi="Arial" w:cs="Arial"/>
          <w:noProof/>
          <w:sz w:val="24"/>
          <w:szCs w:val="24"/>
        </w:rPr>
        <w:t xml:space="preserve">Moraleja, A. G. (2016). </w:t>
      </w:r>
      <w:r w:rsidR="00A07B2D" w:rsidRPr="00C12BE0">
        <w:rPr>
          <w:rFonts w:ascii="Arial" w:hAnsi="Arial" w:cs="Arial"/>
          <w:iCs/>
          <w:noProof/>
          <w:sz w:val="24"/>
          <w:szCs w:val="24"/>
        </w:rPr>
        <w:t>Análisis y evaluación del riesgo de micotoxinas en café.</w:t>
      </w:r>
      <w:r w:rsidR="00A07B2D" w:rsidRPr="00C12BE0">
        <w:rPr>
          <w:rFonts w:ascii="Arial" w:hAnsi="Arial" w:cs="Arial"/>
          <w:noProof/>
          <w:sz w:val="24"/>
          <w:szCs w:val="24"/>
        </w:rPr>
        <w:t xml:space="preserve"> </w:t>
      </w:r>
      <w:r w:rsidRPr="00D71C21">
        <w:rPr>
          <w:rFonts w:ascii="Arial" w:hAnsi="Arial" w:cs="Arial"/>
          <w:noProof/>
          <w:sz w:val="24"/>
          <w:szCs w:val="24"/>
          <w:lang w:val="en-US"/>
        </w:rPr>
        <w:t>Valencia: Universidad de Valencia.</w:t>
      </w:r>
    </w:p>
    <w:p w:rsidR="002C3F1F" w:rsidRPr="00D71C21" w:rsidRDefault="002C3F1F" w:rsidP="00A07B2D">
      <w:pPr>
        <w:pStyle w:val="Bibliografa"/>
        <w:spacing w:line="360" w:lineRule="auto"/>
        <w:ind w:left="720" w:hanging="720"/>
        <w:jc w:val="both"/>
        <w:rPr>
          <w:rFonts w:ascii="Arial" w:hAnsi="Arial" w:cs="Arial"/>
          <w:noProof/>
          <w:sz w:val="24"/>
          <w:szCs w:val="24"/>
          <w:lang w:val="en-US"/>
        </w:rPr>
      </w:pPr>
      <w:r w:rsidRPr="00D71C21">
        <w:rPr>
          <w:rFonts w:ascii="Arial" w:hAnsi="Arial" w:cs="Arial"/>
          <w:noProof/>
          <w:sz w:val="24"/>
          <w:szCs w:val="24"/>
          <w:lang w:val="en-US"/>
        </w:rPr>
        <w:t xml:space="preserve">Oscar Galarce-Bustos, M. A. (2010). Occurrence of Ochratoxin A in coffee beans, ground roasted coffee and soluble coffee and method validation. </w:t>
      </w:r>
      <w:r w:rsidRPr="00D71C21">
        <w:rPr>
          <w:rFonts w:ascii="Arial" w:hAnsi="Arial" w:cs="Arial"/>
          <w:i/>
          <w:iCs/>
          <w:noProof/>
          <w:sz w:val="24"/>
          <w:szCs w:val="24"/>
          <w:lang w:val="en-US"/>
        </w:rPr>
        <w:t>Food Control</w:t>
      </w:r>
      <w:r w:rsidRPr="00D71C21">
        <w:rPr>
          <w:rFonts w:ascii="Arial" w:hAnsi="Arial" w:cs="Arial"/>
          <w:noProof/>
          <w:sz w:val="24"/>
          <w:szCs w:val="24"/>
          <w:lang w:val="en-US"/>
        </w:rPr>
        <w:t>, 102-107.</w:t>
      </w:r>
    </w:p>
    <w:p w:rsidR="002C3F1F" w:rsidRPr="00C12BE0" w:rsidRDefault="002C3F1F" w:rsidP="00A07B2D">
      <w:pPr>
        <w:pStyle w:val="Bibliografa"/>
        <w:spacing w:line="360" w:lineRule="auto"/>
        <w:ind w:left="720" w:hanging="720"/>
        <w:jc w:val="both"/>
        <w:rPr>
          <w:rFonts w:ascii="Arial" w:hAnsi="Arial" w:cs="Arial"/>
          <w:noProof/>
          <w:sz w:val="24"/>
          <w:szCs w:val="24"/>
        </w:rPr>
      </w:pPr>
      <w:r w:rsidRPr="00D71C21">
        <w:rPr>
          <w:rFonts w:ascii="Arial" w:hAnsi="Arial" w:cs="Arial"/>
          <w:noProof/>
          <w:sz w:val="24"/>
          <w:szCs w:val="24"/>
          <w:lang w:val="en-US"/>
        </w:rPr>
        <w:t xml:space="preserve">Patel, C. H. (1997). Survey of ochratoxin A in UK retail coffees. </w:t>
      </w:r>
      <w:r w:rsidRPr="00C12BE0">
        <w:rPr>
          <w:rFonts w:ascii="Arial" w:hAnsi="Arial" w:cs="Arial"/>
          <w:i/>
          <w:iCs/>
          <w:noProof/>
          <w:sz w:val="24"/>
          <w:szCs w:val="24"/>
        </w:rPr>
        <w:t>Food Addit Contam.</w:t>
      </w:r>
      <w:r w:rsidRPr="00C12BE0">
        <w:rPr>
          <w:rFonts w:ascii="Arial" w:hAnsi="Arial" w:cs="Arial"/>
          <w:noProof/>
          <w:sz w:val="24"/>
          <w:szCs w:val="24"/>
        </w:rPr>
        <w:t>, 217-22.</w:t>
      </w:r>
    </w:p>
    <w:p w:rsidR="002C3F1F" w:rsidRPr="00C12BE0" w:rsidRDefault="002C3F1F" w:rsidP="00A07B2D">
      <w:pPr>
        <w:pStyle w:val="Bibliografa"/>
        <w:spacing w:line="360" w:lineRule="auto"/>
        <w:ind w:left="720" w:hanging="720"/>
        <w:jc w:val="both"/>
        <w:rPr>
          <w:rFonts w:ascii="Arial" w:hAnsi="Arial" w:cs="Arial"/>
          <w:noProof/>
          <w:sz w:val="24"/>
          <w:szCs w:val="24"/>
        </w:rPr>
      </w:pPr>
      <w:r w:rsidRPr="00C12BE0">
        <w:rPr>
          <w:rFonts w:ascii="Arial" w:hAnsi="Arial" w:cs="Arial"/>
          <w:noProof/>
          <w:sz w:val="24"/>
          <w:szCs w:val="24"/>
        </w:rPr>
        <w:t xml:space="preserve">Pfohl-Leszkowicz, M. T. (2010 ). Ocratoxina A en el café tostado de los supermercados franceses y transferencia en bebidas de café: Comparación de los métodos de análisis. </w:t>
      </w:r>
      <w:r w:rsidRPr="00C12BE0">
        <w:rPr>
          <w:rFonts w:ascii="Arial" w:hAnsi="Arial" w:cs="Arial"/>
          <w:i/>
          <w:iCs/>
          <w:noProof/>
          <w:sz w:val="24"/>
          <w:szCs w:val="24"/>
        </w:rPr>
        <w:t>Toxinas</w:t>
      </w:r>
      <w:r w:rsidRPr="00C12BE0">
        <w:rPr>
          <w:rFonts w:ascii="Arial" w:hAnsi="Arial" w:cs="Arial"/>
          <w:noProof/>
          <w:sz w:val="24"/>
          <w:szCs w:val="24"/>
        </w:rPr>
        <w:t>, 1928-1942.</w:t>
      </w:r>
    </w:p>
    <w:p w:rsidR="002C3F1F" w:rsidRPr="00C12BE0" w:rsidRDefault="002C3F1F" w:rsidP="00A07B2D">
      <w:pPr>
        <w:pStyle w:val="Bibliografa"/>
        <w:spacing w:line="360" w:lineRule="auto"/>
        <w:ind w:left="720" w:hanging="720"/>
        <w:jc w:val="both"/>
        <w:rPr>
          <w:rFonts w:ascii="Arial" w:hAnsi="Arial" w:cs="Arial"/>
          <w:noProof/>
          <w:sz w:val="24"/>
          <w:szCs w:val="24"/>
        </w:rPr>
      </w:pPr>
      <w:r w:rsidRPr="00C12BE0">
        <w:rPr>
          <w:rFonts w:ascii="Arial" w:hAnsi="Arial" w:cs="Arial"/>
          <w:noProof/>
          <w:sz w:val="24"/>
          <w:szCs w:val="24"/>
        </w:rPr>
        <w:t xml:space="preserve">Quintana Guzmán, E. M. (2007). Determinación de ocratoxina A en plasma humano y en café de Costa Rica por un método de ELISA. </w:t>
      </w:r>
      <w:r w:rsidRPr="00C12BE0">
        <w:rPr>
          <w:rFonts w:ascii="Arial" w:hAnsi="Arial" w:cs="Arial"/>
          <w:i/>
          <w:iCs/>
          <w:noProof/>
          <w:sz w:val="24"/>
          <w:szCs w:val="24"/>
        </w:rPr>
        <w:t>Archivos Latinoamericanos de Nutrición</w:t>
      </w:r>
      <w:r w:rsidRPr="00C12BE0">
        <w:rPr>
          <w:rFonts w:ascii="Arial" w:hAnsi="Arial" w:cs="Arial"/>
          <w:noProof/>
          <w:sz w:val="24"/>
          <w:szCs w:val="24"/>
        </w:rPr>
        <w:t>, 168-172.</w:t>
      </w:r>
    </w:p>
    <w:p w:rsidR="002C3F1F" w:rsidRPr="00C12BE0" w:rsidRDefault="002C3F1F" w:rsidP="00A07B2D">
      <w:pPr>
        <w:pStyle w:val="Bibliografa"/>
        <w:spacing w:line="360" w:lineRule="auto"/>
        <w:ind w:left="720" w:hanging="720"/>
        <w:jc w:val="both"/>
        <w:rPr>
          <w:rFonts w:ascii="Arial" w:hAnsi="Arial" w:cs="Arial"/>
          <w:noProof/>
          <w:sz w:val="24"/>
          <w:szCs w:val="24"/>
        </w:rPr>
      </w:pPr>
      <w:r w:rsidRPr="00C12BE0">
        <w:rPr>
          <w:rFonts w:ascii="Arial" w:hAnsi="Arial" w:cs="Arial"/>
          <w:noProof/>
          <w:sz w:val="24"/>
          <w:szCs w:val="24"/>
        </w:rPr>
        <w:t xml:space="preserve">Quintero, G. P. (2008). Calidad en taza de mezclas preparadas con granos de Coffea arabica y coffea canephora. </w:t>
      </w:r>
      <w:r w:rsidRPr="00C12BE0">
        <w:rPr>
          <w:rFonts w:ascii="Arial" w:hAnsi="Arial" w:cs="Arial"/>
          <w:i/>
          <w:iCs/>
          <w:noProof/>
          <w:sz w:val="24"/>
          <w:szCs w:val="24"/>
        </w:rPr>
        <w:t>Cenicafé</w:t>
      </w:r>
      <w:r w:rsidRPr="00C12BE0">
        <w:rPr>
          <w:rFonts w:ascii="Arial" w:hAnsi="Arial" w:cs="Arial"/>
          <w:noProof/>
          <w:sz w:val="24"/>
          <w:szCs w:val="24"/>
        </w:rPr>
        <w:t>, 183-203.</w:t>
      </w:r>
    </w:p>
    <w:p w:rsidR="002C3F1F" w:rsidRPr="00C12BE0" w:rsidRDefault="002C3F1F" w:rsidP="00A07B2D">
      <w:pPr>
        <w:pStyle w:val="Bibliografa"/>
        <w:spacing w:line="360" w:lineRule="auto"/>
        <w:ind w:left="720" w:hanging="720"/>
        <w:jc w:val="both"/>
        <w:rPr>
          <w:rFonts w:ascii="Arial" w:hAnsi="Arial" w:cs="Arial"/>
          <w:noProof/>
          <w:sz w:val="24"/>
          <w:szCs w:val="24"/>
        </w:rPr>
      </w:pPr>
      <w:r w:rsidRPr="00C12BE0">
        <w:rPr>
          <w:rFonts w:ascii="Arial" w:hAnsi="Arial" w:cs="Arial"/>
          <w:noProof/>
          <w:sz w:val="24"/>
          <w:szCs w:val="24"/>
        </w:rPr>
        <w:t xml:space="preserve">Ramos., A. J. (2011). </w:t>
      </w:r>
      <w:r w:rsidRPr="00C12BE0">
        <w:rPr>
          <w:rFonts w:ascii="Arial" w:hAnsi="Arial" w:cs="Arial"/>
          <w:i/>
          <w:iCs/>
          <w:noProof/>
          <w:sz w:val="24"/>
          <w:szCs w:val="24"/>
        </w:rPr>
        <w:t>Micotoxinas y Micotoxicosis.</w:t>
      </w:r>
      <w:r w:rsidRPr="00C12BE0">
        <w:rPr>
          <w:rFonts w:ascii="Arial" w:hAnsi="Arial" w:cs="Arial"/>
          <w:noProof/>
          <w:sz w:val="24"/>
          <w:szCs w:val="24"/>
        </w:rPr>
        <w:t xml:space="preserve"> Madrid España: AMV </w:t>
      </w:r>
      <w:r w:rsidR="00A07B2D" w:rsidRPr="00C12BE0">
        <w:rPr>
          <w:rFonts w:ascii="Arial" w:hAnsi="Arial" w:cs="Arial"/>
          <w:noProof/>
          <w:sz w:val="24"/>
          <w:szCs w:val="24"/>
        </w:rPr>
        <w:t>ediciones</w:t>
      </w:r>
      <w:r w:rsidRPr="00C12BE0">
        <w:rPr>
          <w:rFonts w:ascii="Arial" w:hAnsi="Arial" w:cs="Arial"/>
          <w:noProof/>
          <w:sz w:val="24"/>
          <w:szCs w:val="24"/>
        </w:rPr>
        <w:t>.</w:t>
      </w:r>
    </w:p>
    <w:p w:rsidR="002C3F1F" w:rsidRPr="00C12BE0" w:rsidRDefault="002C3F1F" w:rsidP="00A07B2D">
      <w:pPr>
        <w:pStyle w:val="Bibliografa"/>
        <w:spacing w:line="360" w:lineRule="auto"/>
        <w:ind w:left="720" w:hanging="720"/>
        <w:jc w:val="both"/>
        <w:rPr>
          <w:rFonts w:ascii="Arial" w:hAnsi="Arial" w:cs="Arial"/>
          <w:noProof/>
          <w:sz w:val="24"/>
          <w:szCs w:val="24"/>
        </w:rPr>
      </w:pPr>
      <w:r w:rsidRPr="00C12BE0">
        <w:rPr>
          <w:rFonts w:ascii="Arial" w:hAnsi="Arial" w:cs="Arial"/>
          <w:noProof/>
          <w:sz w:val="24"/>
          <w:szCs w:val="24"/>
        </w:rPr>
        <w:t xml:space="preserve">Romani S, S. G. (2000). La detección de la presencia de ocratoxina A en los granos de café verdes de diferentes orígenes y tipos. </w:t>
      </w:r>
      <w:r w:rsidRPr="00C12BE0">
        <w:rPr>
          <w:rFonts w:ascii="Arial" w:hAnsi="Arial" w:cs="Arial"/>
          <w:i/>
          <w:iCs/>
          <w:noProof/>
          <w:sz w:val="24"/>
          <w:szCs w:val="24"/>
        </w:rPr>
        <w:t>NCBI</w:t>
      </w:r>
      <w:r w:rsidRPr="00C12BE0">
        <w:rPr>
          <w:rFonts w:ascii="Arial" w:hAnsi="Arial" w:cs="Arial"/>
          <w:noProof/>
          <w:sz w:val="24"/>
          <w:szCs w:val="24"/>
        </w:rPr>
        <w:t>, 3616-9.</w:t>
      </w:r>
    </w:p>
    <w:p w:rsidR="002C3F1F" w:rsidRPr="00C12BE0" w:rsidRDefault="002C3F1F" w:rsidP="00A07B2D">
      <w:pPr>
        <w:pStyle w:val="Bibliografa"/>
        <w:spacing w:line="360" w:lineRule="auto"/>
        <w:ind w:left="720" w:hanging="720"/>
        <w:jc w:val="both"/>
        <w:rPr>
          <w:rFonts w:ascii="Arial" w:hAnsi="Arial" w:cs="Arial"/>
          <w:noProof/>
          <w:sz w:val="24"/>
          <w:szCs w:val="24"/>
        </w:rPr>
      </w:pPr>
      <w:r w:rsidRPr="00C12BE0">
        <w:rPr>
          <w:rFonts w:ascii="Arial" w:hAnsi="Arial" w:cs="Arial"/>
          <w:noProof/>
          <w:sz w:val="24"/>
          <w:szCs w:val="24"/>
        </w:rPr>
        <w:t xml:space="preserve">Salgado, A. G. (2010). </w:t>
      </w:r>
      <w:r w:rsidRPr="00C12BE0">
        <w:rPr>
          <w:rFonts w:ascii="Arial" w:hAnsi="Arial" w:cs="Arial"/>
          <w:i/>
          <w:iCs/>
          <w:noProof/>
          <w:sz w:val="24"/>
          <w:szCs w:val="24"/>
        </w:rPr>
        <w:t>Diagnotico y control de especies de Aspergillus productoras de ocratoxina A.</w:t>
      </w:r>
      <w:r w:rsidRPr="00C12BE0">
        <w:rPr>
          <w:rFonts w:ascii="Arial" w:hAnsi="Arial" w:cs="Arial"/>
          <w:noProof/>
          <w:sz w:val="24"/>
          <w:szCs w:val="24"/>
        </w:rPr>
        <w:t xml:space="preserve"> Madrid: Universidad Complutense de Madrid Facultad de Ciencias Biológicas.</w:t>
      </w:r>
    </w:p>
    <w:p w:rsidR="002C3F1F" w:rsidRPr="00C12BE0" w:rsidRDefault="002C3F1F" w:rsidP="00A07B2D">
      <w:pPr>
        <w:pStyle w:val="Bibliografa"/>
        <w:spacing w:line="360" w:lineRule="auto"/>
        <w:ind w:left="720" w:hanging="720"/>
        <w:jc w:val="both"/>
        <w:rPr>
          <w:rFonts w:ascii="Arial" w:hAnsi="Arial" w:cs="Arial"/>
          <w:noProof/>
          <w:sz w:val="24"/>
          <w:szCs w:val="24"/>
        </w:rPr>
      </w:pPr>
      <w:r w:rsidRPr="00C12BE0">
        <w:rPr>
          <w:rFonts w:ascii="Arial" w:hAnsi="Arial" w:cs="Arial"/>
          <w:noProof/>
          <w:sz w:val="24"/>
          <w:szCs w:val="24"/>
        </w:rPr>
        <w:t xml:space="preserve">Servicio De Información Agroalimentaria y Pesquera (SIAP). (2016). </w:t>
      </w:r>
      <w:r w:rsidRPr="00C12BE0">
        <w:rPr>
          <w:rFonts w:ascii="Arial" w:hAnsi="Arial" w:cs="Arial"/>
          <w:i/>
          <w:iCs/>
          <w:noProof/>
          <w:sz w:val="24"/>
          <w:szCs w:val="24"/>
        </w:rPr>
        <w:t>Atlas Agroalimentario 2016.</w:t>
      </w:r>
      <w:r w:rsidRPr="00C12BE0">
        <w:rPr>
          <w:rFonts w:ascii="Arial" w:hAnsi="Arial" w:cs="Arial"/>
          <w:noProof/>
          <w:sz w:val="24"/>
          <w:szCs w:val="24"/>
        </w:rPr>
        <w:t xml:space="preserve"> México.</w:t>
      </w:r>
    </w:p>
    <w:p w:rsidR="002C3F1F" w:rsidRPr="00D71C21" w:rsidRDefault="002C3F1F" w:rsidP="00A07B2D">
      <w:pPr>
        <w:pStyle w:val="Bibliografa"/>
        <w:spacing w:line="360" w:lineRule="auto"/>
        <w:ind w:left="720" w:hanging="720"/>
        <w:jc w:val="both"/>
        <w:rPr>
          <w:rFonts w:ascii="Arial" w:hAnsi="Arial" w:cs="Arial"/>
          <w:noProof/>
          <w:sz w:val="24"/>
          <w:szCs w:val="24"/>
          <w:lang w:val="en-US"/>
        </w:rPr>
      </w:pPr>
      <w:r w:rsidRPr="00D71C21">
        <w:rPr>
          <w:rFonts w:ascii="Arial" w:hAnsi="Arial" w:cs="Arial"/>
          <w:noProof/>
          <w:sz w:val="24"/>
          <w:szCs w:val="24"/>
          <w:lang w:val="en-US"/>
        </w:rPr>
        <w:t xml:space="preserve">Zain, M. E. (2011). Impact of mycotoxins on humans and animals. </w:t>
      </w:r>
      <w:r w:rsidRPr="00D71C21">
        <w:rPr>
          <w:rFonts w:ascii="Arial" w:hAnsi="Arial" w:cs="Arial"/>
          <w:i/>
          <w:iCs/>
          <w:noProof/>
          <w:sz w:val="24"/>
          <w:szCs w:val="24"/>
          <w:lang w:val="en-US"/>
        </w:rPr>
        <w:t>Journal of Saudi Chemical Society</w:t>
      </w:r>
      <w:r w:rsidRPr="00D71C21">
        <w:rPr>
          <w:rFonts w:ascii="Arial" w:hAnsi="Arial" w:cs="Arial"/>
          <w:noProof/>
          <w:sz w:val="24"/>
          <w:szCs w:val="24"/>
          <w:lang w:val="en-US"/>
        </w:rPr>
        <w:t>, 129–144.</w:t>
      </w:r>
    </w:p>
    <w:p w:rsidR="002C3707" w:rsidRPr="008C448C" w:rsidRDefault="002C3F1F" w:rsidP="00A07B2D">
      <w:pPr>
        <w:spacing w:line="360" w:lineRule="auto"/>
        <w:jc w:val="both"/>
        <w:rPr>
          <w:rFonts w:ascii="Arial" w:hAnsi="Arial" w:cs="Arial"/>
          <w:sz w:val="24"/>
          <w:szCs w:val="24"/>
        </w:rPr>
      </w:pPr>
      <w:r w:rsidRPr="00C12BE0">
        <w:rPr>
          <w:rFonts w:ascii="Arial" w:hAnsi="Arial" w:cs="Arial"/>
          <w:sz w:val="24"/>
          <w:szCs w:val="24"/>
        </w:rPr>
        <w:fldChar w:fldCharType="end"/>
      </w:r>
    </w:p>
    <w:sectPr w:rsidR="002C3707" w:rsidRPr="008C448C" w:rsidSect="000A53CC">
      <w:pgSz w:w="12240" w:h="15840"/>
      <w:pgMar w:top="1417" w:right="1701" w:bottom="1417" w:left="156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50750D"/>
    <w:multiLevelType w:val="hybridMultilevel"/>
    <w:tmpl w:val="692C24F2"/>
    <w:lvl w:ilvl="0" w:tplc="080A0001">
      <w:start w:val="1"/>
      <w:numFmt w:val="bullet"/>
      <w:lvlText w:val=""/>
      <w:lvlJc w:val="left"/>
      <w:pPr>
        <w:ind w:left="783" w:hanging="360"/>
      </w:pPr>
      <w:rPr>
        <w:rFonts w:ascii="Symbol" w:hAnsi="Symbol" w:hint="default"/>
      </w:rPr>
    </w:lvl>
    <w:lvl w:ilvl="1" w:tplc="080A0003" w:tentative="1">
      <w:start w:val="1"/>
      <w:numFmt w:val="bullet"/>
      <w:lvlText w:val="o"/>
      <w:lvlJc w:val="left"/>
      <w:pPr>
        <w:ind w:left="1503" w:hanging="360"/>
      </w:pPr>
      <w:rPr>
        <w:rFonts w:ascii="Courier New" w:hAnsi="Courier New" w:hint="default"/>
      </w:rPr>
    </w:lvl>
    <w:lvl w:ilvl="2" w:tplc="080A0005" w:tentative="1">
      <w:start w:val="1"/>
      <w:numFmt w:val="bullet"/>
      <w:lvlText w:val=""/>
      <w:lvlJc w:val="left"/>
      <w:pPr>
        <w:ind w:left="2223" w:hanging="360"/>
      </w:pPr>
      <w:rPr>
        <w:rFonts w:ascii="Wingdings" w:hAnsi="Wingdings" w:hint="default"/>
      </w:rPr>
    </w:lvl>
    <w:lvl w:ilvl="3" w:tplc="080A0001" w:tentative="1">
      <w:start w:val="1"/>
      <w:numFmt w:val="bullet"/>
      <w:lvlText w:val=""/>
      <w:lvlJc w:val="left"/>
      <w:pPr>
        <w:ind w:left="2943" w:hanging="360"/>
      </w:pPr>
      <w:rPr>
        <w:rFonts w:ascii="Symbol" w:hAnsi="Symbol" w:hint="default"/>
      </w:rPr>
    </w:lvl>
    <w:lvl w:ilvl="4" w:tplc="080A0003" w:tentative="1">
      <w:start w:val="1"/>
      <w:numFmt w:val="bullet"/>
      <w:lvlText w:val="o"/>
      <w:lvlJc w:val="left"/>
      <w:pPr>
        <w:ind w:left="3663" w:hanging="360"/>
      </w:pPr>
      <w:rPr>
        <w:rFonts w:ascii="Courier New" w:hAnsi="Courier New" w:hint="default"/>
      </w:rPr>
    </w:lvl>
    <w:lvl w:ilvl="5" w:tplc="080A0005" w:tentative="1">
      <w:start w:val="1"/>
      <w:numFmt w:val="bullet"/>
      <w:lvlText w:val=""/>
      <w:lvlJc w:val="left"/>
      <w:pPr>
        <w:ind w:left="4383" w:hanging="360"/>
      </w:pPr>
      <w:rPr>
        <w:rFonts w:ascii="Wingdings" w:hAnsi="Wingdings" w:hint="default"/>
      </w:rPr>
    </w:lvl>
    <w:lvl w:ilvl="6" w:tplc="080A0001" w:tentative="1">
      <w:start w:val="1"/>
      <w:numFmt w:val="bullet"/>
      <w:lvlText w:val=""/>
      <w:lvlJc w:val="left"/>
      <w:pPr>
        <w:ind w:left="5103" w:hanging="360"/>
      </w:pPr>
      <w:rPr>
        <w:rFonts w:ascii="Symbol" w:hAnsi="Symbol" w:hint="default"/>
      </w:rPr>
    </w:lvl>
    <w:lvl w:ilvl="7" w:tplc="080A0003" w:tentative="1">
      <w:start w:val="1"/>
      <w:numFmt w:val="bullet"/>
      <w:lvlText w:val="o"/>
      <w:lvlJc w:val="left"/>
      <w:pPr>
        <w:ind w:left="5823" w:hanging="360"/>
      </w:pPr>
      <w:rPr>
        <w:rFonts w:ascii="Courier New" w:hAnsi="Courier New" w:hint="default"/>
      </w:rPr>
    </w:lvl>
    <w:lvl w:ilvl="8" w:tplc="080A0005" w:tentative="1">
      <w:start w:val="1"/>
      <w:numFmt w:val="bullet"/>
      <w:lvlText w:val=""/>
      <w:lvlJc w:val="left"/>
      <w:pPr>
        <w:ind w:left="6543" w:hanging="360"/>
      </w:pPr>
      <w:rPr>
        <w:rFonts w:ascii="Wingdings" w:hAnsi="Wingdings" w:hint="default"/>
      </w:rPr>
    </w:lvl>
  </w:abstractNum>
  <w:abstractNum w:abstractNumId="1">
    <w:nsid w:val="52AB4373"/>
    <w:multiLevelType w:val="multilevel"/>
    <w:tmpl w:val="B4DAB39C"/>
    <w:lvl w:ilvl="0">
      <w:start w:val="1"/>
      <w:numFmt w:val="decimal"/>
      <w:lvlText w:val="%1.0."/>
      <w:lvlJc w:val="left"/>
      <w:pPr>
        <w:ind w:left="720" w:hanging="7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6E517753"/>
    <w:multiLevelType w:val="hybridMultilevel"/>
    <w:tmpl w:val="1C9E4B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F1F"/>
    <w:rsid w:val="00013633"/>
    <w:rsid w:val="000D1B19"/>
    <w:rsid w:val="001729BC"/>
    <w:rsid w:val="001A3467"/>
    <w:rsid w:val="001D5C81"/>
    <w:rsid w:val="002C3707"/>
    <w:rsid w:val="002C3F1F"/>
    <w:rsid w:val="002E0AD3"/>
    <w:rsid w:val="006B2AEB"/>
    <w:rsid w:val="006B2C61"/>
    <w:rsid w:val="008C448C"/>
    <w:rsid w:val="008D4F7D"/>
    <w:rsid w:val="0091057F"/>
    <w:rsid w:val="00A07B2D"/>
    <w:rsid w:val="00A9076D"/>
    <w:rsid w:val="00AF13FF"/>
    <w:rsid w:val="00B512E4"/>
    <w:rsid w:val="00B608F0"/>
    <w:rsid w:val="00C12BE0"/>
    <w:rsid w:val="00C6250B"/>
    <w:rsid w:val="00C852A6"/>
    <w:rsid w:val="00CC40B6"/>
    <w:rsid w:val="00D71C21"/>
    <w:rsid w:val="00DD38CA"/>
    <w:rsid w:val="00E40C49"/>
    <w:rsid w:val="00EE2560"/>
    <w:rsid w:val="00EF4666"/>
    <w:rsid w:val="00F820D1"/>
    <w:rsid w:val="00FE692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CF3AD3-C134-4494-A1F2-EC32E322E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F1F"/>
    <w:rPr>
      <w:rFonts w:eastAsia="Times New Roman"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Bibliografa">
    <w:name w:val="Bibliography"/>
    <w:basedOn w:val="Normal"/>
    <w:next w:val="Normal"/>
    <w:uiPriority w:val="37"/>
    <w:unhideWhenUsed/>
    <w:rsid w:val="002C3F1F"/>
  </w:style>
  <w:style w:type="paragraph" w:styleId="Prrafodelista">
    <w:name w:val="List Paragraph"/>
    <w:basedOn w:val="Normal"/>
    <w:uiPriority w:val="34"/>
    <w:qFormat/>
    <w:rsid w:val="002C3F1F"/>
    <w:pPr>
      <w:ind w:left="720"/>
      <w:contextualSpacing/>
    </w:pPr>
  </w:style>
  <w:style w:type="table" w:customStyle="1" w:styleId="Tabladecuadrcula1clara-nfasis11">
    <w:name w:val="Tabla de cuadrícula 1 clara - Énfasis 11"/>
    <w:basedOn w:val="Tablanormal"/>
    <w:uiPriority w:val="46"/>
    <w:rsid w:val="002C3F1F"/>
    <w:pPr>
      <w:spacing w:after="0" w:line="240" w:lineRule="auto"/>
    </w:pPr>
    <w:rPr>
      <w:rFonts w:eastAsia="Times New Roman" w:cs="Times New Roman"/>
    </w:r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rFonts w:cs="Times New Roman"/>
        <w:b/>
        <w:bCs/>
      </w:rPr>
      <w:tblPr/>
      <w:tcPr>
        <w:tcBorders>
          <w:bottom w:val="single" w:sz="12" w:space="0" w:color="9CC2E5" w:themeColor="accent1" w:themeTint="99"/>
        </w:tcBorders>
      </w:tcPr>
    </w:tblStylePr>
    <w:tblStylePr w:type="lastRow">
      <w:rPr>
        <w:rFonts w:cs="Times New Roman"/>
        <w:b/>
        <w:bCs/>
      </w:rPr>
      <w:tblPr/>
      <w:tcPr>
        <w:tcBorders>
          <w:top w:val="double" w:sz="2" w:space="0" w:color="9CC2E5" w:themeColor="accent1" w:themeTint="99"/>
        </w:tcBorders>
      </w:tcPr>
    </w:tblStylePr>
    <w:tblStylePr w:type="firstCol">
      <w:rPr>
        <w:rFonts w:cs="Times New Roman"/>
        <w:b/>
        <w:bCs/>
      </w:rPr>
    </w:tblStylePr>
    <w:tblStylePr w:type="lastCol">
      <w:rPr>
        <w:rFonts w:cs="Times New Roman"/>
        <w:b/>
        <w:bCs/>
      </w:rPr>
    </w:tblStylePr>
  </w:style>
  <w:style w:type="paragraph" w:styleId="Textodeglobo">
    <w:name w:val="Balloon Text"/>
    <w:basedOn w:val="Normal"/>
    <w:link w:val="TextodegloboCar"/>
    <w:uiPriority w:val="99"/>
    <w:semiHidden/>
    <w:unhideWhenUsed/>
    <w:rsid w:val="0091057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1057F"/>
    <w:rPr>
      <w:rFonts w:ascii="Tahoma" w:eastAsia="Times New Roman" w:hAnsi="Tahoma" w:cs="Tahoma"/>
      <w:sz w:val="16"/>
      <w:szCs w:val="16"/>
    </w:rPr>
  </w:style>
  <w:style w:type="table" w:styleId="Tablaconcuadrcula">
    <w:name w:val="Table Grid"/>
    <w:basedOn w:val="Tablanormal"/>
    <w:uiPriority w:val="39"/>
    <w:rsid w:val="008D4F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D71C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2AEA8-EEBA-4803-B60E-A430F466F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2810</Words>
  <Characters>15455</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carrillo villalobos</dc:creator>
  <cp:lastModifiedBy>regina carrillo villalobos</cp:lastModifiedBy>
  <cp:revision>3</cp:revision>
  <dcterms:created xsi:type="dcterms:W3CDTF">2017-08-30T19:20:00Z</dcterms:created>
  <dcterms:modified xsi:type="dcterms:W3CDTF">2017-08-30T19:21:00Z</dcterms:modified>
</cp:coreProperties>
</file>