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20371" w14:textId="77777777" w:rsidR="006150A3" w:rsidRDefault="006150A3" w:rsidP="006150A3">
      <w:pPr>
        <w:spacing w:after="160" w:line="276" w:lineRule="auto"/>
        <w:jc w:val="both"/>
      </w:pPr>
      <w:bookmarkStart w:id="0" w:name="_w436p9gcfzk8" w:colFirst="0" w:colLast="0"/>
      <w:bookmarkEnd w:id="0"/>
    </w:p>
    <w:p w14:paraId="5B2AE103" w14:textId="77777777" w:rsidR="006150A3" w:rsidRPr="006150A3" w:rsidRDefault="006150A3" w:rsidP="00347DA9">
      <w:pPr>
        <w:spacing w:after="160" w:line="360" w:lineRule="auto"/>
        <w:jc w:val="both"/>
        <w:rPr>
          <w:rFonts w:ascii="Arial" w:hAnsi="Arial" w:cs="Arial"/>
          <w:b/>
        </w:rPr>
      </w:pPr>
      <w:r w:rsidRPr="006150A3">
        <w:rPr>
          <w:rFonts w:ascii="Arial" w:hAnsi="Arial" w:cs="Arial"/>
          <w:b/>
        </w:rPr>
        <w:t>RELACIÓN ENTRE EL ASMA Y LA OBESIDAD EN ESCOLARES DEL ESTADO DE NUEVO LEÓN</w:t>
      </w:r>
    </w:p>
    <w:p w14:paraId="17071D90" w14:textId="24C335DA" w:rsidR="006150A3" w:rsidRPr="006150A3" w:rsidRDefault="006150A3" w:rsidP="00347DA9">
      <w:pPr>
        <w:spacing w:line="360" w:lineRule="auto"/>
        <w:jc w:val="both"/>
        <w:rPr>
          <w:rFonts w:ascii="Arial" w:hAnsi="Arial" w:cs="Arial"/>
        </w:rPr>
      </w:pPr>
      <w:r w:rsidRPr="006150A3">
        <w:rPr>
          <w:rFonts w:ascii="Arial" w:hAnsi="Arial" w:cs="Arial"/>
        </w:rPr>
        <w:t>José Rubén Cardona Reynoso Universidad Autónoma de Nayarit,</w:t>
      </w:r>
      <w:r w:rsidR="00517875" w:rsidRPr="00517875">
        <w:rPr>
          <w:rFonts w:ascii="Arial" w:hAnsi="Arial" w:cs="Arial"/>
        </w:rPr>
        <w:t xml:space="preserve"> </w:t>
      </w:r>
      <w:r w:rsidR="00517875" w:rsidRPr="006150A3">
        <w:rPr>
          <w:rFonts w:ascii="Arial" w:hAnsi="Arial" w:cs="Arial"/>
        </w:rPr>
        <w:t>Félix Iván Lezama Pulido, Universi</w:t>
      </w:r>
      <w:r w:rsidR="00517875">
        <w:rPr>
          <w:rFonts w:ascii="Arial" w:hAnsi="Arial" w:cs="Arial"/>
        </w:rPr>
        <w:t>dad Juárez Autónoma de Tabasco,</w:t>
      </w:r>
      <w:r w:rsidRPr="006150A3">
        <w:rPr>
          <w:rFonts w:ascii="Arial" w:hAnsi="Arial" w:cs="Arial"/>
        </w:rPr>
        <w:t xml:space="preserve"> Elena Lizeth Garza González Universidad Autónoma de Nuevo León, Sofía Villarreal Zambrano Universidad de Monterrey</w:t>
      </w:r>
    </w:p>
    <w:p w14:paraId="07526E19" w14:textId="3AA1B1E2" w:rsidR="00347DA9" w:rsidRDefault="006150A3" w:rsidP="00347DA9">
      <w:pPr>
        <w:spacing w:line="360" w:lineRule="auto"/>
        <w:jc w:val="both"/>
        <w:rPr>
          <w:rFonts w:ascii="Arial" w:hAnsi="Arial" w:cs="Arial"/>
        </w:rPr>
      </w:pPr>
      <w:r w:rsidRPr="00425967">
        <w:rPr>
          <w:rFonts w:ascii="Arial" w:hAnsi="Arial" w:cs="Arial"/>
        </w:rPr>
        <w:t>Asesor Dra.</w:t>
      </w:r>
      <w:r w:rsidRPr="006150A3">
        <w:rPr>
          <w:rFonts w:ascii="Arial" w:hAnsi="Arial" w:cs="Arial"/>
        </w:rPr>
        <w:t xml:space="preserve"> Elizabeth Solís Pérez, NC. Universidad Autónoma de Nuevo León</w:t>
      </w:r>
    </w:p>
    <w:p w14:paraId="68320889" w14:textId="77777777" w:rsidR="00517875" w:rsidRPr="00347DA9" w:rsidRDefault="00517875" w:rsidP="00347DA9">
      <w:pPr>
        <w:spacing w:line="360" w:lineRule="auto"/>
        <w:jc w:val="both"/>
        <w:rPr>
          <w:rFonts w:ascii="Arial" w:hAnsi="Arial" w:cs="Arial"/>
        </w:rPr>
      </w:pPr>
      <w:bookmarkStart w:id="1" w:name="_GoBack"/>
      <w:bookmarkEnd w:id="1"/>
    </w:p>
    <w:p w14:paraId="00567261" w14:textId="77777777" w:rsidR="00425967" w:rsidRDefault="00425967" w:rsidP="006150A3">
      <w:pPr>
        <w:spacing w:after="160" w:line="276" w:lineRule="auto"/>
        <w:jc w:val="both"/>
        <w:rPr>
          <w:rFonts w:ascii="Arial" w:hAnsi="Arial" w:cs="Arial"/>
          <w:b/>
        </w:rPr>
      </w:pPr>
      <w:r w:rsidRPr="00425967">
        <w:rPr>
          <w:rFonts w:ascii="Arial" w:hAnsi="Arial" w:cs="Arial"/>
          <w:b/>
        </w:rPr>
        <w:t xml:space="preserve">Resumen </w:t>
      </w:r>
    </w:p>
    <w:p w14:paraId="0F6E96AF" w14:textId="77777777" w:rsidR="00347DA9" w:rsidRDefault="00425967" w:rsidP="00347DA9">
      <w:p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Durante la estancia de</w:t>
      </w:r>
      <w:r w:rsidR="0086605C">
        <w:rPr>
          <w:rFonts w:ascii="Arial" w:hAnsi="Arial" w:cs="Arial"/>
        </w:rPr>
        <w:t xml:space="preserve"> verano de investigación </w:t>
      </w:r>
      <w:r>
        <w:rPr>
          <w:rFonts w:ascii="Arial" w:hAnsi="Arial" w:cs="Arial"/>
        </w:rPr>
        <w:t>Delfín XXII</w:t>
      </w:r>
      <w:r w:rsidR="0086605C">
        <w:rPr>
          <w:rFonts w:ascii="Arial" w:hAnsi="Arial" w:cs="Arial"/>
        </w:rPr>
        <w:t xml:space="preserve">, se investigó </w:t>
      </w:r>
      <w:r>
        <w:rPr>
          <w:rFonts w:ascii="Arial" w:hAnsi="Arial" w:cs="Arial"/>
        </w:rPr>
        <w:t xml:space="preserve">la relación entre el asma y la obesidad en la población infantil del estado de Nuevo León, se trabajó con datos del programa de obesidad infantil de la Facultad de Salud Pública y Nutrición de la Universidad Autónoma de Nuevo León. </w:t>
      </w:r>
      <w:r w:rsidRPr="006150A3">
        <w:rPr>
          <w:rFonts w:ascii="Arial" w:hAnsi="Arial" w:cs="Arial"/>
        </w:rPr>
        <w:t>La investigación es cuantitativa de tipo correlacional, misma en la que se utilizó un tipo de muestreo probabilístico aleatorio.</w:t>
      </w:r>
      <w:r w:rsidR="0086605C">
        <w:rPr>
          <w:rFonts w:ascii="Arial" w:hAnsi="Arial" w:cs="Arial"/>
        </w:rPr>
        <w:t xml:space="preserve"> Se utilizó una muestra de 100 escolares entre los 6 y los 12 años de edad. Se consideraron 50 escolares con normopeso y 50 con obesidad. Teniendo como resultado final un 7 % de la muestra total de 100 escolares, esto con relación a escolares que presentan obesidad y asma. </w:t>
      </w:r>
    </w:p>
    <w:p w14:paraId="209767D5" w14:textId="77777777" w:rsidR="006150A3" w:rsidRPr="00347DA9" w:rsidRDefault="00347DA9" w:rsidP="00347DA9">
      <w:p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 w:rsidR="006150A3" w:rsidRPr="006150A3">
        <w:rPr>
          <w:rFonts w:ascii="Arial" w:hAnsi="Arial" w:cs="Arial"/>
          <w:b/>
        </w:rPr>
        <w:t xml:space="preserve">ntroducción </w:t>
      </w:r>
    </w:p>
    <w:p w14:paraId="6B771752" w14:textId="77777777" w:rsidR="006150A3" w:rsidRPr="006150A3" w:rsidRDefault="006150A3" w:rsidP="00347DA9">
      <w:pPr>
        <w:spacing w:line="360" w:lineRule="auto"/>
        <w:jc w:val="both"/>
        <w:rPr>
          <w:rFonts w:ascii="Arial" w:hAnsi="Arial" w:cs="Arial"/>
        </w:rPr>
      </w:pPr>
      <w:r w:rsidRPr="006150A3">
        <w:rPr>
          <w:rFonts w:ascii="Arial" w:hAnsi="Arial" w:cs="Arial"/>
        </w:rPr>
        <w:t>La prevalencia de asma y obesidad ha ido en aumento desde hace varias décadas. Diferentes estudios han reportado la relación que puede haber entre estas dos enfermedades. (*, **, ***)</w:t>
      </w:r>
    </w:p>
    <w:p w14:paraId="52C69901" w14:textId="77777777" w:rsidR="006150A3" w:rsidRPr="006150A3" w:rsidRDefault="006150A3" w:rsidP="00347DA9">
      <w:pPr>
        <w:spacing w:line="360" w:lineRule="auto"/>
        <w:jc w:val="both"/>
        <w:rPr>
          <w:rFonts w:ascii="Arial" w:hAnsi="Arial" w:cs="Arial"/>
        </w:rPr>
      </w:pPr>
      <w:r w:rsidRPr="006150A3">
        <w:rPr>
          <w:rFonts w:ascii="Arial" w:hAnsi="Arial" w:cs="Arial"/>
        </w:rPr>
        <w:t xml:space="preserve">La comorbilidad de estas patologías es contraproducente, debido a que presentan complicaciones que exacerban la una a la otra, incluso compartiendo cambios fisiopatológicos como alteraciones hormonales y del sistema inmunológico, y activación de regiones genéticas específicas. (****) </w:t>
      </w:r>
    </w:p>
    <w:p w14:paraId="27E88AB7" w14:textId="77777777" w:rsidR="006150A3" w:rsidRPr="006150A3" w:rsidRDefault="006150A3" w:rsidP="00347DA9">
      <w:pPr>
        <w:spacing w:line="360" w:lineRule="auto"/>
        <w:jc w:val="both"/>
        <w:rPr>
          <w:rFonts w:ascii="Arial" w:hAnsi="Arial" w:cs="Arial"/>
        </w:rPr>
      </w:pPr>
      <w:r w:rsidRPr="006150A3">
        <w:rPr>
          <w:rFonts w:ascii="Arial" w:hAnsi="Arial" w:cs="Arial"/>
        </w:rPr>
        <w:t>Por otro lado, la Encuesta Nacional de Salud y Nutrición 2012 (ENSANUT 2012) muestra una mayor prevalencia de obesidad y sobrepeso en niños en la zona norte del país. Donde casi 4 de cada 10 niños presentan este problema.</w:t>
      </w:r>
    </w:p>
    <w:p w14:paraId="1F1E4FAC" w14:textId="77777777" w:rsidR="00347DA9" w:rsidRDefault="00347DA9" w:rsidP="00347DA9">
      <w:pPr>
        <w:spacing w:line="360" w:lineRule="auto"/>
        <w:jc w:val="both"/>
        <w:rPr>
          <w:rFonts w:ascii="Arial" w:hAnsi="Arial" w:cs="Arial"/>
          <w:color w:val="222222"/>
        </w:rPr>
      </w:pPr>
    </w:p>
    <w:p w14:paraId="68E32E02" w14:textId="77777777" w:rsidR="00347DA9" w:rsidRDefault="006150A3" w:rsidP="00347DA9">
      <w:pPr>
        <w:spacing w:line="360" w:lineRule="auto"/>
        <w:jc w:val="both"/>
        <w:rPr>
          <w:rFonts w:ascii="Arial" w:hAnsi="Arial" w:cs="Arial"/>
          <w:color w:val="222222"/>
        </w:rPr>
      </w:pPr>
      <w:r w:rsidRPr="006150A3">
        <w:rPr>
          <w:rFonts w:ascii="Arial" w:hAnsi="Arial" w:cs="Arial"/>
          <w:color w:val="222222"/>
        </w:rPr>
        <w:t xml:space="preserve">En la estancia de verano de investigación en el estado de Nuevo León y con datos del programa de obesidad infantil de la Facultad de Salud Pública y Nutrición (FASPyN) de la Universidad Autónoma de Nuevo León (UANL). Se llevó a cabo una revisión de las historias clínicas y base de datos para analizar la relación entre estas dos patologías </w:t>
      </w:r>
    </w:p>
    <w:p w14:paraId="6E68E93A" w14:textId="77777777" w:rsidR="00347DA9" w:rsidRDefault="00347DA9" w:rsidP="00347DA9">
      <w:pPr>
        <w:spacing w:line="360" w:lineRule="auto"/>
        <w:jc w:val="both"/>
        <w:rPr>
          <w:rFonts w:ascii="Arial" w:hAnsi="Arial" w:cs="Arial"/>
          <w:color w:val="222222"/>
        </w:rPr>
      </w:pPr>
    </w:p>
    <w:p w14:paraId="49C8427E" w14:textId="77777777" w:rsidR="00347DA9" w:rsidRPr="00347DA9" w:rsidRDefault="006150A3" w:rsidP="00347DA9">
      <w:pPr>
        <w:spacing w:line="360" w:lineRule="auto"/>
        <w:jc w:val="both"/>
        <w:rPr>
          <w:rFonts w:ascii="Arial" w:hAnsi="Arial" w:cs="Arial"/>
          <w:color w:val="222222"/>
        </w:rPr>
      </w:pPr>
      <w:r w:rsidRPr="006150A3">
        <w:rPr>
          <w:rFonts w:ascii="Arial" w:hAnsi="Arial" w:cs="Arial"/>
          <w:b/>
        </w:rPr>
        <w:t>Metodología</w:t>
      </w:r>
    </w:p>
    <w:p w14:paraId="22ABAF52" w14:textId="77777777" w:rsidR="00347DA9" w:rsidRDefault="006150A3" w:rsidP="00347DA9">
      <w:pPr>
        <w:spacing w:after="160" w:line="360" w:lineRule="auto"/>
        <w:jc w:val="both"/>
        <w:rPr>
          <w:rFonts w:ascii="Arial" w:hAnsi="Arial" w:cs="Arial"/>
          <w:b/>
        </w:rPr>
      </w:pPr>
      <w:r w:rsidRPr="006150A3">
        <w:rPr>
          <w:rFonts w:ascii="Arial" w:hAnsi="Arial" w:cs="Arial"/>
        </w:rPr>
        <w:t xml:space="preserve">La investigación es cuantitativa de tipo correlacional, misma en la que se utilizó un tipo de muestreo probabilístico aleatorio. El estudio incluyó 100 escolares de 6-12 años de edad. Según su Índice de Masa Corporal, 50 presentan un normopeso y 50 presentaban un diagnóstico clínico de obesidad. Se obtuvieron los datos del programa de obesidad infantil de la FASPyN de la UANL. En donde se analizaron las historias clínicas y la base de datos para poder encontrar una relación entre la prevalencia de obesidad y asma.. Para la validación de datos se utilizó el paquete estadístico IBM SPSS versión 22 a través de análisis descriptivos. </w:t>
      </w:r>
    </w:p>
    <w:p w14:paraId="2F71A492" w14:textId="77777777" w:rsidR="006150A3" w:rsidRDefault="006150A3" w:rsidP="00347DA9">
      <w:pPr>
        <w:spacing w:after="160" w:line="360" w:lineRule="auto"/>
        <w:jc w:val="both"/>
        <w:rPr>
          <w:rFonts w:ascii="Arial" w:hAnsi="Arial" w:cs="Arial"/>
          <w:b/>
        </w:rPr>
      </w:pPr>
      <w:r w:rsidRPr="006150A3">
        <w:rPr>
          <w:rFonts w:ascii="Arial" w:hAnsi="Arial" w:cs="Arial"/>
          <w:b/>
        </w:rPr>
        <w:t>Resultados</w:t>
      </w:r>
    </w:p>
    <w:p w14:paraId="35C34F54" w14:textId="77777777" w:rsidR="00347DA9" w:rsidRPr="006150A3" w:rsidRDefault="006150A3" w:rsidP="00347DA9">
      <w:pPr>
        <w:spacing w:line="360" w:lineRule="auto"/>
        <w:jc w:val="both"/>
        <w:rPr>
          <w:rFonts w:ascii="Arial" w:hAnsi="Arial" w:cs="Arial"/>
        </w:rPr>
      </w:pPr>
      <w:r w:rsidRPr="006150A3">
        <w:rPr>
          <w:rFonts w:ascii="Arial" w:hAnsi="Arial" w:cs="Arial"/>
        </w:rPr>
        <w:t>Con respecto, al total de niños con normopeso la frecuencia de asma fue de 0%, mientras que en los pacientes con obesidad fue del 14%. (Tabla 1)</w:t>
      </w:r>
    </w:p>
    <w:tbl>
      <w:tblPr>
        <w:tblStyle w:val="Tablanormal2"/>
        <w:tblW w:w="8835" w:type="dxa"/>
        <w:tblLayout w:type="fixed"/>
        <w:tblLook w:val="0600" w:firstRow="0" w:lastRow="0" w:firstColumn="0" w:lastColumn="0" w:noHBand="1" w:noVBand="1"/>
      </w:tblPr>
      <w:tblGrid>
        <w:gridCol w:w="1259"/>
        <w:gridCol w:w="1262"/>
        <w:gridCol w:w="1262"/>
        <w:gridCol w:w="1263"/>
        <w:gridCol w:w="1263"/>
        <w:gridCol w:w="1263"/>
        <w:gridCol w:w="1263"/>
      </w:tblGrid>
      <w:tr w:rsidR="006150A3" w:rsidRPr="006150A3" w14:paraId="016CC8C0" w14:textId="77777777" w:rsidTr="00D906E9">
        <w:trPr>
          <w:trHeight w:val="440"/>
        </w:trPr>
        <w:tc>
          <w:tcPr>
            <w:tcW w:w="8835" w:type="dxa"/>
            <w:gridSpan w:val="7"/>
            <w:tcBorders>
              <w:top w:val="nil"/>
              <w:bottom w:val="single" w:sz="4" w:space="0" w:color="auto"/>
            </w:tcBorders>
          </w:tcPr>
          <w:p w14:paraId="20C71EA3" w14:textId="77777777" w:rsidR="00347DA9" w:rsidRDefault="00347DA9" w:rsidP="006150A3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11EF13E2" w14:textId="77777777" w:rsidR="006150A3" w:rsidRPr="006150A3" w:rsidRDefault="006150A3" w:rsidP="006150A3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6150A3">
              <w:rPr>
                <w:rFonts w:ascii="Arial" w:hAnsi="Arial" w:cs="Arial"/>
                <w:b/>
              </w:rPr>
              <w:t>Tabla</w:t>
            </w:r>
            <w:proofErr w:type="spellEnd"/>
            <w:r w:rsidRPr="006150A3">
              <w:rPr>
                <w:rFonts w:ascii="Arial" w:hAnsi="Arial" w:cs="Arial"/>
                <w:b/>
              </w:rPr>
              <w:t xml:space="preserve"> 1</w:t>
            </w:r>
          </w:p>
          <w:p w14:paraId="1BDA6F37" w14:textId="77777777" w:rsidR="006150A3" w:rsidRPr="006150A3" w:rsidRDefault="006150A3" w:rsidP="006150A3">
            <w:pPr>
              <w:widowControl w:val="0"/>
              <w:spacing w:line="276" w:lineRule="auto"/>
              <w:jc w:val="both"/>
              <w:rPr>
                <w:rFonts w:ascii="Arial" w:hAnsi="Arial" w:cs="Arial"/>
                <w:i/>
              </w:rPr>
            </w:pPr>
            <w:proofErr w:type="spellStart"/>
            <w:r w:rsidRPr="006150A3">
              <w:rPr>
                <w:rFonts w:ascii="Arial" w:hAnsi="Arial" w:cs="Arial"/>
                <w:i/>
              </w:rPr>
              <w:t>Frecuencia</w:t>
            </w:r>
            <w:proofErr w:type="spellEnd"/>
            <w:r w:rsidRPr="006150A3">
              <w:rPr>
                <w:rFonts w:ascii="Arial" w:hAnsi="Arial" w:cs="Arial"/>
                <w:i/>
              </w:rPr>
              <w:t xml:space="preserve"> de </w:t>
            </w:r>
            <w:r w:rsidRPr="006150A3">
              <w:rPr>
                <w:rFonts w:ascii="Arial" w:hAnsi="Arial" w:cs="Arial"/>
                <w:i/>
                <w:lang w:val="es-ES_tradnl"/>
              </w:rPr>
              <w:t>Asma</w:t>
            </w:r>
            <w:r w:rsidRPr="006150A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150A3">
              <w:rPr>
                <w:rFonts w:ascii="Arial" w:hAnsi="Arial" w:cs="Arial"/>
                <w:i/>
              </w:rPr>
              <w:t>en</w:t>
            </w:r>
            <w:proofErr w:type="spellEnd"/>
            <w:r w:rsidRPr="006150A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150A3">
              <w:rPr>
                <w:rFonts w:ascii="Arial" w:hAnsi="Arial" w:cs="Arial"/>
                <w:i/>
              </w:rPr>
              <w:t>pacientes</w:t>
            </w:r>
            <w:proofErr w:type="spellEnd"/>
            <w:r w:rsidRPr="006150A3">
              <w:rPr>
                <w:rFonts w:ascii="Arial" w:hAnsi="Arial" w:cs="Arial"/>
                <w:i/>
              </w:rPr>
              <w:t xml:space="preserve"> con </w:t>
            </w:r>
            <w:r w:rsidRPr="006150A3">
              <w:rPr>
                <w:rFonts w:ascii="Arial" w:hAnsi="Arial" w:cs="Arial"/>
                <w:i/>
                <w:lang w:val="es-ES_tradnl"/>
              </w:rPr>
              <w:t>Obesidad</w:t>
            </w:r>
            <w:r w:rsidRPr="006150A3">
              <w:rPr>
                <w:rFonts w:ascii="Arial" w:hAnsi="Arial" w:cs="Arial"/>
                <w:i/>
              </w:rPr>
              <w:t xml:space="preserve"> y </w:t>
            </w:r>
            <w:proofErr w:type="spellStart"/>
            <w:r w:rsidRPr="006150A3">
              <w:rPr>
                <w:rFonts w:ascii="Arial" w:hAnsi="Arial" w:cs="Arial"/>
                <w:i/>
              </w:rPr>
              <w:t>Normopeso</w:t>
            </w:r>
            <w:proofErr w:type="spellEnd"/>
            <w:r w:rsidRPr="006150A3">
              <w:rPr>
                <w:rFonts w:ascii="Arial" w:hAnsi="Arial" w:cs="Arial"/>
                <w:i/>
              </w:rPr>
              <w:t xml:space="preserve"> </w:t>
            </w:r>
          </w:p>
          <w:p w14:paraId="25E9479B" w14:textId="77777777" w:rsidR="006150A3" w:rsidRPr="006150A3" w:rsidRDefault="006150A3" w:rsidP="006150A3">
            <w:pPr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150A3" w:rsidRPr="006150A3" w14:paraId="4D7F976E" w14:textId="77777777" w:rsidTr="00D906E9">
        <w:trPr>
          <w:trHeight w:val="440"/>
        </w:trPr>
        <w:tc>
          <w:tcPr>
            <w:tcW w:w="1259" w:type="dxa"/>
            <w:vMerge w:val="restart"/>
            <w:tcBorders>
              <w:top w:val="single" w:sz="4" w:space="0" w:color="auto"/>
            </w:tcBorders>
          </w:tcPr>
          <w:p w14:paraId="455E0D25" w14:textId="77777777" w:rsidR="006150A3" w:rsidRPr="006150A3" w:rsidRDefault="00425967" w:rsidP="006150A3">
            <w:pPr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Clasificac</w:t>
            </w:r>
            <w:r w:rsidR="006150A3" w:rsidRPr="006150A3">
              <w:rPr>
                <w:rFonts w:ascii="Arial" w:hAnsi="Arial" w:cs="Arial"/>
              </w:rPr>
              <w:t>ión</w:t>
            </w:r>
            <w:proofErr w:type="spellEnd"/>
            <w:r w:rsidR="006150A3" w:rsidRPr="006150A3">
              <w:rPr>
                <w:rFonts w:ascii="Arial" w:hAnsi="Arial" w:cs="Arial"/>
              </w:rPr>
              <w:t xml:space="preserve"> de IMC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2B2267" w14:textId="77777777" w:rsidR="006150A3" w:rsidRPr="006150A3" w:rsidRDefault="006150A3" w:rsidP="006150A3">
            <w:pPr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6150A3">
              <w:rPr>
                <w:rFonts w:ascii="Arial" w:hAnsi="Arial" w:cs="Arial"/>
              </w:rPr>
              <w:t>Normopeso</w:t>
            </w:r>
            <w:proofErr w:type="spellEnd"/>
          </w:p>
        </w:tc>
        <w:tc>
          <w:tcPr>
            <w:tcW w:w="2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D3A62E" w14:textId="77777777" w:rsidR="006150A3" w:rsidRPr="006150A3" w:rsidRDefault="006150A3" w:rsidP="006150A3">
            <w:pPr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6150A3">
              <w:rPr>
                <w:rFonts w:ascii="Arial" w:hAnsi="Arial" w:cs="Arial"/>
              </w:rPr>
              <w:t>Obesidad</w:t>
            </w:r>
            <w:proofErr w:type="spellEnd"/>
          </w:p>
        </w:tc>
        <w:tc>
          <w:tcPr>
            <w:tcW w:w="2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9B079A" w14:textId="77777777" w:rsidR="006150A3" w:rsidRPr="006150A3" w:rsidRDefault="006150A3" w:rsidP="006150A3">
            <w:pPr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  <w:r w:rsidRPr="006150A3">
              <w:rPr>
                <w:rFonts w:ascii="Arial" w:hAnsi="Arial" w:cs="Arial"/>
              </w:rPr>
              <w:t>Total</w:t>
            </w:r>
          </w:p>
        </w:tc>
      </w:tr>
      <w:tr w:rsidR="006150A3" w:rsidRPr="006150A3" w14:paraId="7A6B7625" w14:textId="77777777" w:rsidTr="00D906E9">
        <w:trPr>
          <w:trHeight w:val="440"/>
        </w:trPr>
        <w:tc>
          <w:tcPr>
            <w:tcW w:w="1259" w:type="dxa"/>
            <w:vMerge/>
          </w:tcPr>
          <w:p w14:paraId="32E133CC" w14:textId="77777777" w:rsidR="006150A3" w:rsidRPr="006150A3" w:rsidRDefault="006150A3" w:rsidP="006150A3">
            <w:pPr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048CF4FA" w14:textId="77777777" w:rsidR="006150A3" w:rsidRPr="006150A3" w:rsidRDefault="006150A3" w:rsidP="006150A3">
            <w:pPr>
              <w:widowControl w:val="0"/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6150A3">
              <w:rPr>
                <w:rFonts w:ascii="Arial" w:hAnsi="Arial" w:cs="Arial"/>
                <w:i/>
              </w:rPr>
              <w:t>f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2E9EC275" w14:textId="77777777" w:rsidR="006150A3" w:rsidRPr="006150A3" w:rsidRDefault="006150A3" w:rsidP="006150A3">
            <w:pPr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  <w:r w:rsidRPr="006150A3">
              <w:rPr>
                <w:rFonts w:ascii="Arial" w:hAnsi="Arial" w:cs="Arial"/>
              </w:rPr>
              <w:t>%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14:paraId="1B96DFB8" w14:textId="77777777" w:rsidR="006150A3" w:rsidRPr="006150A3" w:rsidRDefault="006150A3" w:rsidP="006150A3">
            <w:pPr>
              <w:widowControl w:val="0"/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6150A3">
              <w:rPr>
                <w:rFonts w:ascii="Arial" w:hAnsi="Arial" w:cs="Arial"/>
                <w:i/>
              </w:rPr>
              <w:t>f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14:paraId="061147D3" w14:textId="77777777" w:rsidR="006150A3" w:rsidRPr="006150A3" w:rsidRDefault="006150A3" w:rsidP="006150A3">
            <w:pPr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  <w:r w:rsidRPr="006150A3">
              <w:rPr>
                <w:rFonts w:ascii="Arial" w:hAnsi="Arial" w:cs="Arial"/>
              </w:rPr>
              <w:t>%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14:paraId="5FFD230C" w14:textId="77777777" w:rsidR="006150A3" w:rsidRPr="006150A3" w:rsidRDefault="006150A3" w:rsidP="006150A3">
            <w:pPr>
              <w:widowControl w:val="0"/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6150A3">
              <w:rPr>
                <w:rFonts w:ascii="Arial" w:hAnsi="Arial" w:cs="Arial"/>
                <w:i/>
              </w:rPr>
              <w:t>f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14:paraId="0D366272" w14:textId="77777777" w:rsidR="006150A3" w:rsidRPr="006150A3" w:rsidRDefault="006150A3" w:rsidP="006150A3">
            <w:pPr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  <w:r w:rsidRPr="006150A3">
              <w:rPr>
                <w:rFonts w:ascii="Arial" w:hAnsi="Arial" w:cs="Arial"/>
              </w:rPr>
              <w:t>%</w:t>
            </w:r>
          </w:p>
        </w:tc>
      </w:tr>
      <w:tr w:rsidR="006150A3" w:rsidRPr="006150A3" w14:paraId="749FC802" w14:textId="77777777" w:rsidTr="00D906E9">
        <w:tc>
          <w:tcPr>
            <w:tcW w:w="1259" w:type="dxa"/>
          </w:tcPr>
          <w:p w14:paraId="07A05544" w14:textId="77777777" w:rsidR="006150A3" w:rsidRPr="006150A3" w:rsidRDefault="006150A3" w:rsidP="006150A3">
            <w:pPr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6150A3">
              <w:rPr>
                <w:rFonts w:ascii="Arial" w:hAnsi="Arial" w:cs="Arial"/>
              </w:rPr>
              <w:t>Asma</w:t>
            </w:r>
            <w:proofErr w:type="spellEnd"/>
            <w:r w:rsidRPr="006150A3">
              <w:rPr>
                <w:rFonts w:ascii="Arial" w:hAnsi="Arial" w:cs="Arial"/>
              </w:rPr>
              <w:t xml:space="preserve"> (+)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14:paraId="2CF3D3DE" w14:textId="77777777" w:rsidR="006150A3" w:rsidRPr="006150A3" w:rsidRDefault="006150A3" w:rsidP="006150A3">
            <w:pPr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  <w:r w:rsidRPr="006150A3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14:paraId="2113AE0A" w14:textId="77777777" w:rsidR="006150A3" w:rsidRPr="006150A3" w:rsidRDefault="006150A3" w:rsidP="006150A3">
            <w:pPr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  <w:r w:rsidRPr="006150A3">
              <w:rPr>
                <w:rFonts w:ascii="Arial" w:hAnsi="Arial" w:cs="Arial"/>
              </w:rPr>
              <w:t>0%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14:paraId="0B086691" w14:textId="77777777" w:rsidR="006150A3" w:rsidRPr="006150A3" w:rsidRDefault="006150A3" w:rsidP="006150A3">
            <w:pPr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  <w:r w:rsidRPr="006150A3">
              <w:rPr>
                <w:rFonts w:ascii="Arial" w:hAnsi="Arial" w:cs="Arial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14:paraId="5C536D3D" w14:textId="77777777" w:rsidR="006150A3" w:rsidRPr="006150A3" w:rsidRDefault="006150A3" w:rsidP="006150A3">
            <w:pPr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  <w:r w:rsidRPr="006150A3">
              <w:rPr>
                <w:rFonts w:ascii="Arial" w:hAnsi="Arial" w:cs="Arial"/>
              </w:rPr>
              <w:t>14%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14:paraId="0792AF94" w14:textId="77777777" w:rsidR="006150A3" w:rsidRPr="006150A3" w:rsidRDefault="006150A3" w:rsidP="006150A3">
            <w:pPr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  <w:r w:rsidRPr="006150A3">
              <w:rPr>
                <w:rFonts w:ascii="Arial" w:hAnsi="Arial" w:cs="Arial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14:paraId="21668241" w14:textId="77777777" w:rsidR="006150A3" w:rsidRPr="006150A3" w:rsidRDefault="006150A3" w:rsidP="006150A3">
            <w:pPr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  <w:r w:rsidRPr="006150A3">
              <w:rPr>
                <w:rFonts w:ascii="Arial" w:hAnsi="Arial" w:cs="Arial"/>
              </w:rPr>
              <w:t>7%</w:t>
            </w:r>
          </w:p>
        </w:tc>
      </w:tr>
      <w:tr w:rsidR="006150A3" w:rsidRPr="006150A3" w14:paraId="022E940F" w14:textId="77777777" w:rsidTr="00D906E9">
        <w:tc>
          <w:tcPr>
            <w:tcW w:w="1259" w:type="dxa"/>
          </w:tcPr>
          <w:p w14:paraId="30C8F11C" w14:textId="77777777" w:rsidR="006150A3" w:rsidRPr="006150A3" w:rsidRDefault="006150A3" w:rsidP="006150A3">
            <w:pPr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6150A3">
              <w:rPr>
                <w:rFonts w:ascii="Arial" w:hAnsi="Arial" w:cs="Arial"/>
              </w:rPr>
              <w:t>Asma</w:t>
            </w:r>
            <w:proofErr w:type="spellEnd"/>
            <w:r w:rsidRPr="006150A3">
              <w:rPr>
                <w:rFonts w:ascii="Arial" w:hAnsi="Arial" w:cs="Arial"/>
              </w:rPr>
              <w:t xml:space="preserve"> (-)</w:t>
            </w:r>
          </w:p>
        </w:tc>
        <w:tc>
          <w:tcPr>
            <w:tcW w:w="1262" w:type="dxa"/>
          </w:tcPr>
          <w:p w14:paraId="27D686BB" w14:textId="77777777" w:rsidR="006150A3" w:rsidRPr="006150A3" w:rsidRDefault="006150A3" w:rsidP="006150A3">
            <w:pPr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  <w:r w:rsidRPr="006150A3">
              <w:rPr>
                <w:rFonts w:ascii="Arial" w:hAnsi="Arial" w:cs="Arial"/>
              </w:rPr>
              <w:t>50</w:t>
            </w:r>
          </w:p>
        </w:tc>
        <w:tc>
          <w:tcPr>
            <w:tcW w:w="1262" w:type="dxa"/>
          </w:tcPr>
          <w:p w14:paraId="6BFB7951" w14:textId="77777777" w:rsidR="006150A3" w:rsidRPr="006150A3" w:rsidRDefault="006150A3" w:rsidP="006150A3">
            <w:pPr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  <w:r w:rsidRPr="006150A3">
              <w:rPr>
                <w:rFonts w:ascii="Arial" w:hAnsi="Arial" w:cs="Arial"/>
              </w:rPr>
              <w:t>100%</w:t>
            </w:r>
          </w:p>
        </w:tc>
        <w:tc>
          <w:tcPr>
            <w:tcW w:w="1263" w:type="dxa"/>
          </w:tcPr>
          <w:p w14:paraId="2969F9E9" w14:textId="77777777" w:rsidR="006150A3" w:rsidRPr="006150A3" w:rsidRDefault="006150A3" w:rsidP="006150A3">
            <w:pPr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  <w:r w:rsidRPr="006150A3">
              <w:rPr>
                <w:rFonts w:ascii="Arial" w:hAnsi="Arial" w:cs="Arial"/>
              </w:rPr>
              <w:t>43</w:t>
            </w:r>
          </w:p>
        </w:tc>
        <w:tc>
          <w:tcPr>
            <w:tcW w:w="1263" w:type="dxa"/>
          </w:tcPr>
          <w:p w14:paraId="61A51F42" w14:textId="77777777" w:rsidR="006150A3" w:rsidRPr="006150A3" w:rsidRDefault="006150A3" w:rsidP="006150A3">
            <w:pPr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  <w:r w:rsidRPr="006150A3">
              <w:rPr>
                <w:rFonts w:ascii="Arial" w:hAnsi="Arial" w:cs="Arial"/>
              </w:rPr>
              <w:t>83%</w:t>
            </w:r>
          </w:p>
        </w:tc>
        <w:tc>
          <w:tcPr>
            <w:tcW w:w="1263" w:type="dxa"/>
          </w:tcPr>
          <w:p w14:paraId="16AD08FC" w14:textId="77777777" w:rsidR="006150A3" w:rsidRPr="006150A3" w:rsidRDefault="006150A3" w:rsidP="006150A3">
            <w:pPr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  <w:r w:rsidRPr="006150A3">
              <w:rPr>
                <w:rFonts w:ascii="Arial" w:hAnsi="Arial" w:cs="Arial"/>
              </w:rPr>
              <w:t>93</w:t>
            </w:r>
          </w:p>
        </w:tc>
        <w:tc>
          <w:tcPr>
            <w:tcW w:w="1263" w:type="dxa"/>
          </w:tcPr>
          <w:p w14:paraId="073E7581" w14:textId="77777777" w:rsidR="006150A3" w:rsidRPr="006150A3" w:rsidRDefault="006150A3" w:rsidP="006150A3">
            <w:pPr>
              <w:widowControl w:val="0"/>
              <w:spacing w:line="276" w:lineRule="auto"/>
              <w:ind w:left="1440"/>
              <w:jc w:val="both"/>
              <w:rPr>
                <w:rFonts w:ascii="Arial" w:hAnsi="Arial" w:cs="Arial"/>
              </w:rPr>
            </w:pPr>
            <w:r w:rsidRPr="006150A3">
              <w:rPr>
                <w:rFonts w:ascii="Arial" w:hAnsi="Arial" w:cs="Arial"/>
              </w:rPr>
              <w:t>93%</w:t>
            </w:r>
          </w:p>
        </w:tc>
      </w:tr>
      <w:tr w:rsidR="006150A3" w:rsidRPr="006150A3" w14:paraId="47F62581" w14:textId="77777777" w:rsidTr="00D906E9">
        <w:tc>
          <w:tcPr>
            <w:tcW w:w="1259" w:type="dxa"/>
          </w:tcPr>
          <w:p w14:paraId="4FF2ADC8" w14:textId="77777777" w:rsidR="006150A3" w:rsidRPr="006150A3" w:rsidRDefault="006150A3" w:rsidP="006150A3">
            <w:pPr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  <w:r w:rsidRPr="006150A3">
              <w:rPr>
                <w:rFonts w:ascii="Arial" w:hAnsi="Arial" w:cs="Arial"/>
              </w:rPr>
              <w:t>Total</w:t>
            </w:r>
          </w:p>
        </w:tc>
        <w:tc>
          <w:tcPr>
            <w:tcW w:w="1262" w:type="dxa"/>
          </w:tcPr>
          <w:p w14:paraId="2C01C38D" w14:textId="77777777" w:rsidR="006150A3" w:rsidRPr="006150A3" w:rsidRDefault="006150A3" w:rsidP="006150A3">
            <w:pPr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  <w:r w:rsidRPr="006150A3">
              <w:rPr>
                <w:rFonts w:ascii="Arial" w:hAnsi="Arial" w:cs="Arial"/>
              </w:rPr>
              <w:t>50</w:t>
            </w:r>
          </w:p>
        </w:tc>
        <w:tc>
          <w:tcPr>
            <w:tcW w:w="1262" w:type="dxa"/>
          </w:tcPr>
          <w:p w14:paraId="5AB7C64C" w14:textId="77777777" w:rsidR="006150A3" w:rsidRPr="006150A3" w:rsidRDefault="006150A3" w:rsidP="006150A3">
            <w:pPr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  <w:r w:rsidRPr="006150A3">
              <w:rPr>
                <w:rFonts w:ascii="Arial" w:hAnsi="Arial" w:cs="Arial"/>
              </w:rPr>
              <w:t>100%</w:t>
            </w:r>
          </w:p>
        </w:tc>
        <w:tc>
          <w:tcPr>
            <w:tcW w:w="1263" w:type="dxa"/>
          </w:tcPr>
          <w:p w14:paraId="573F35CA" w14:textId="77777777" w:rsidR="006150A3" w:rsidRPr="006150A3" w:rsidRDefault="006150A3" w:rsidP="006150A3">
            <w:pPr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  <w:r w:rsidRPr="006150A3">
              <w:rPr>
                <w:rFonts w:ascii="Arial" w:hAnsi="Arial" w:cs="Arial"/>
              </w:rPr>
              <w:t>50</w:t>
            </w:r>
          </w:p>
        </w:tc>
        <w:tc>
          <w:tcPr>
            <w:tcW w:w="1263" w:type="dxa"/>
          </w:tcPr>
          <w:p w14:paraId="2EFF5A9B" w14:textId="77777777" w:rsidR="006150A3" w:rsidRPr="006150A3" w:rsidRDefault="006150A3" w:rsidP="006150A3">
            <w:pPr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  <w:r w:rsidRPr="006150A3">
              <w:rPr>
                <w:rFonts w:ascii="Arial" w:hAnsi="Arial" w:cs="Arial"/>
              </w:rPr>
              <w:t>100%</w:t>
            </w:r>
          </w:p>
        </w:tc>
        <w:tc>
          <w:tcPr>
            <w:tcW w:w="1263" w:type="dxa"/>
          </w:tcPr>
          <w:p w14:paraId="1543A615" w14:textId="77777777" w:rsidR="006150A3" w:rsidRPr="006150A3" w:rsidRDefault="006150A3" w:rsidP="006150A3">
            <w:pPr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  <w:r w:rsidRPr="006150A3">
              <w:rPr>
                <w:rFonts w:ascii="Arial" w:hAnsi="Arial" w:cs="Arial"/>
              </w:rPr>
              <w:t>100</w:t>
            </w:r>
          </w:p>
        </w:tc>
        <w:tc>
          <w:tcPr>
            <w:tcW w:w="1263" w:type="dxa"/>
          </w:tcPr>
          <w:p w14:paraId="5F4728D4" w14:textId="77777777" w:rsidR="006150A3" w:rsidRPr="006150A3" w:rsidRDefault="006150A3" w:rsidP="006150A3">
            <w:pPr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  <w:r w:rsidRPr="006150A3">
              <w:rPr>
                <w:rFonts w:ascii="Arial" w:hAnsi="Arial" w:cs="Arial"/>
              </w:rPr>
              <w:t xml:space="preserve">100% </w:t>
            </w:r>
          </w:p>
        </w:tc>
      </w:tr>
      <w:tr w:rsidR="006150A3" w:rsidRPr="006150A3" w14:paraId="143A4BCB" w14:textId="77777777" w:rsidTr="00D906E9">
        <w:trPr>
          <w:trHeight w:val="440"/>
        </w:trPr>
        <w:tc>
          <w:tcPr>
            <w:tcW w:w="8835" w:type="dxa"/>
            <w:gridSpan w:val="7"/>
          </w:tcPr>
          <w:p w14:paraId="4909B38F" w14:textId="77777777" w:rsidR="006150A3" w:rsidRPr="006150A3" w:rsidRDefault="006150A3" w:rsidP="006150A3">
            <w:pPr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  <w:r w:rsidRPr="006150A3">
              <w:rPr>
                <w:rFonts w:ascii="Arial" w:hAnsi="Arial" w:cs="Arial"/>
              </w:rPr>
              <w:t>n = 100</w:t>
            </w:r>
          </w:p>
        </w:tc>
      </w:tr>
    </w:tbl>
    <w:p w14:paraId="1B7A723B" w14:textId="77777777" w:rsidR="006150A3" w:rsidRPr="006150A3" w:rsidRDefault="006150A3" w:rsidP="006150A3">
      <w:pPr>
        <w:spacing w:after="160" w:line="276" w:lineRule="auto"/>
        <w:jc w:val="both"/>
        <w:rPr>
          <w:rFonts w:ascii="Arial" w:hAnsi="Arial" w:cs="Arial"/>
        </w:rPr>
      </w:pPr>
      <w:r w:rsidRPr="006150A3">
        <w:rPr>
          <w:rFonts w:ascii="Arial" w:hAnsi="Arial" w:cs="Arial"/>
        </w:rPr>
        <w:t xml:space="preserve"> </w:t>
      </w:r>
    </w:p>
    <w:p w14:paraId="437CFFD9" w14:textId="77777777" w:rsidR="006150A3" w:rsidRDefault="006150A3" w:rsidP="006150A3">
      <w:pPr>
        <w:spacing w:after="160" w:line="276" w:lineRule="auto"/>
        <w:ind w:firstLine="720"/>
        <w:jc w:val="both"/>
        <w:rPr>
          <w:rFonts w:ascii="Arial" w:hAnsi="Arial" w:cs="Arial"/>
        </w:rPr>
      </w:pPr>
    </w:p>
    <w:p w14:paraId="2D700D70" w14:textId="77777777" w:rsidR="006150A3" w:rsidRDefault="006150A3" w:rsidP="006150A3">
      <w:pPr>
        <w:spacing w:after="160" w:line="276" w:lineRule="auto"/>
        <w:ind w:firstLine="720"/>
        <w:jc w:val="both"/>
        <w:rPr>
          <w:rFonts w:ascii="Arial" w:hAnsi="Arial" w:cs="Arial"/>
        </w:rPr>
      </w:pPr>
    </w:p>
    <w:p w14:paraId="3EC040DA" w14:textId="77777777" w:rsidR="00347DA9" w:rsidRDefault="00347DA9" w:rsidP="006150A3">
      <w:pPr>
        <w:spacing w:after="160" w:line="276" w:lineRule="auto"/>
        <w:jc w:val="both"/>
        <w:rPr>
          <w:rFonts w:ascii="Arial" w:hAnsi="Arial" w:cs="Arial"/>
        </w:rPr>
      </w:pPr>
    </w:p>
    <w:p w14:paraId="7084C9C1" w14:textId="77777777" w:rsidR="00347DA9" w:rsidRDefault="006150A3" w:rsidP="006150A3">
      <w:pPr>
        <w:spacing w:after="160" w:line="276" w:lineRule="auto"/>
        <w:jc w:val="both"/>
        <w:rPr>
          <w:rFonts w:ascii="Arial" w:hAnsi="Arial" w:cs="Arial"/>
          <w:b/>
        </w:rPr>
      </w:pPr>
      <w:r w:rsidRPr="006150A3">
        <w:rPr>
          <w:rFonts w:ascii="Arial" w:hAnsi="Arial" w:cs="Arial"/>
        </w:rPr>
        <w:t xml:space="preserve">El análisis de estos datos muestra un asociación significante entre estas dos patologías, </w:t>
      </w:r>
      <w:r w:rsidRPr="006150A3">
        <w:rPr>
          <w:rFonts w:ascii="Arial" w:hAnsi="Arial" w:cs="Arial"/>
          <w:b/>
          <w:i/>
          <w:color w:val="222222"/>
          <w:highlight w:val="white"/>
        </w:rPr>
        <w:t>χ²(1, N= 100) = 7.527, p = .006</w:t>
      </w:r>
      <w:r w:rsidRPr="006150A3">
        <w:rPr>
          <w:rFonts w:ascii="Arial" w:hAnsi="Arial" w:cs="Arial"/>
        </w:rPr>
        <w:t xml:space="preserve">. </w:t>
      </w:r>
    </w:p>
    <w:p w14:paraId="313CD3CC" w14:textId="77777777" w:rsidR="00347DA9" w:rsidRDefault="00347DA9" w:rsidP="006150A3">
      <w:pPr>
        <w:spacing w:after="160" w:line="276" w:lineRule="auto"/>
        <w:jc w:val="both"/>
        <w:rPr>
          <w:rFonts w:ascii="Arial" w:hAnsi="Arial" w:cs="Arial"/>
          <w:b/>
        </w:rPr>
      </w:pPr>
    </w:p>
    <w:p w14:paraId="0595F521" w14:textId="77777777" w:rsidR="006150A3" w:rsidRPr="006150A3" w:rsidRDefault="006150A3" w:rsidP="006150A3">
      <w:pPr>
        <w:spacing w:after="160" w:line="276" w:lineRule="auto"/>
        <w:jc w:val="both"/>
        <w:rPr>
          <w:rFonts w:ascii="Arial" w:hAnsi="Arial" w:cs="Arial"/>
          <w:b/>
        </w:rPr>
      </w:pPr>
      <w:r w:rsidRPr="006150A3">
        <w:rPr>
          <w:rFonts w:ascii="Arial" w:hAnsi="Arial" w:cs="Arial"/>
          <w:b/>
        </w:rPr>
        <w:t>Conclusión</w:t>
      </w:r>
    </w:p>
    <w:p w14:paraId="64E9B96B" w14:textId="77777777" w:rsidR="00347DA9" w:rsidRPr="00347DA9" w:rsidRDefault="006150A3" w:rsidP="00347DA9">
      <w:pPr>
        <w:spacing w:line="360" w:lineRule="auto"/>
        <w:jc w:val="both"/>
        <w:rPr>
          <w:rFonts w:ascii="Arial" w:hAnsi="Arial" w:cs="Arial"/>
        </w:rPr>
      </w:pPr>
      <w:r w:rsidRPr="006150A3">
        <w:rPr>
          <w:rFonts w:ascii="Arial" w:hAnsi="Arial" w:cs="Arial"/>
        </w:rPr>
        <w:t>En el estudio realizado se pudo analizar la relación entre la frecuencia de asma y obesidad en los niños de ésta población, aunque fue solo una muestra de 100 niños</w:t>
      </w:r>
      <w:r>
        <w:rPr>
          <w:rFonts w:ascii="Arial" w:hAnsi="Arial" w:cs="Arial"/>
        </w:rPr>
        <w:t xml:space="preserve"> se pudo encontrar relación entre el asma y la obesidad</w:t>
      </w:r>
      <w:r w:rsidRPr="006150A3">
        <w:rPr>
          <w:rFonts w:ascii="Arial" w:hAnsi="Arial" w:cs="Arial"/>
        </w:rPr>
        <w:t>. Se recomienda continuar investigando la presencia de asma en la obesidad. Los niños con obesidad son una población en</w:t>
      </w:r>
      <w:r>
        <w:rPr>
          <w:rFonts w:ascii="Arial" w:hAnsi="Arial" w:cs="Arial"/>
        </w:rPr>
        <w:t xml:space="preserve"> riesgo, donde las </w:t>
      </w:r>
      <w:r w:rsidRPr="006150A3">
        <w:rPr>
          <w:rFonts w:ascii="Arial" w:hAnsi="Arial" w:cs="Arial"/>
        </w:rPr>
        <w:t>alteraciones referent</w:t>
      </w:r>
      <w:r>
        <w:rPr>
          <w:rFonts w:ascii="Arial" w:hAnsi="Arial" w:cs="Arial"/>
        </w:rPr>
        <w:t xml:space="preserve">es al aparato respiratorio </w:t>
      </w:r>
      <w:r w:rsidRPr="006150A3">
        <w:rPr>
          <w:rFonts w:ascii="Arial" w:hAnsi="Arial" w:cs="Arial"/>
        </w:rPr>
        <w:t>puedan sugerir principios de asma.</w:t>
      </w:r>
    </w:p>
    <w:p w14:paraId="757B342E" w14:textId="77777777" w:rsidR="00347DA9" w:rsidRDefault="00347DA9" w:rsidP="006150A3">
      <w:pPr>
        <w:spacing w:after="160" w:line="300" w:lineRule="auto"/>
        <w:jc w:val="both"/>
        <w:rPr>
          <w:rFonts w:ascii="Arial" w:hAnsi="Arial" w:cs="Arial"/>
          <w:b/>
        </w:rPr>
      </w:pPr>
    </w:p>
    <w:p w14:paraId="128DC1A6" w14:textId="77777777" w:rsidR="006150A3" w:rsidRPr="00347DA9" w:rsidRDefault="006150A3" w:rsidP="006150A3">
      <w:pPr>
        <w:spacing w:after="160" w:line="300" w:lineRule="auto"/>
        <w:jc w:val="both"/>
        <w:rPr>
          <w:rFonts w:ascii="Arial" w:hAnsi="Arial" w:cs="Arial"/>
          <w:b/>
        </w:rPr>
      </w:pPr>
      <w:r w:rsidRPr="006150A3">
        <w:rPr>
          <w:rFonts w:ascii="Arial" w:hAnsi="Arial" w:cs="Arial"/>
          <w:b/>
        </w:rPr>
        <w:t>Referencias</w:t>
      </w:r>
    </w:p>
    <w:p w14:paraId="634AB75F" w14:textId="77777777" w:rsidR="006150A3" w:rsidRPr="006150A3" w:rsidRDefault="006150A3" w:rsidP="00347DA9">
      <w:pPr>
        <w:spacing w:line="360" w:lineRule="auto"/>
        <w:ind w:left="709" w:hanging="709"/>
        <w:jc w:val="both"/>
        <w:rPr>
          <w:rFonts w:ascii="Arial" w:hAnsi="Arial" w:cs="Arial"/>
        </w:rPr>
      </w:pPr>
      <w:proofErr w:type="spellStart"/>
      <w:r w:rsidRPr="006150A3">
        <w:rPr>
          <w:rFonts w:ascii="Arial" w:hAnsi="Arial" w:cs="Arial"/>
        </w:rPr>
        <w:t>Alaníz</w:t>
      </w:r>
      <w:proofErr w:type="spellEnd"/>
      <w:r w:rsidRPr="006150A3">
        <w:rPr>
          <w:rFonts w:ascii="Arial" w:hAnsi="Arial" w:cs="Arial"/>
        </w:rPr>
        <w:t>-Flores, A., Canseco-Raymundo, M. R., Granados-Gómez, A., &amp; Becerril-Ángeles, M. (2013). Asociación entre obesidad y gravedad del asma en niños. (</w:t>
      </w:r>
      <w:proofErr w:type="spellStart"/>
      <w:r w:rsidRPr="006150A3">
        <w:rPr>
          <w:rFonts w:ascii="Arial" w:hAnsi="Arial" w:cs="Arial"/>
        </w:rPr>
        <w:t>Spanish</w:t>
      </w:r>
      <w:proofErr w:type="spellEnd"/>
      <w:r w:rsidRPr="006150A3">
        <w:rPr>
          <w:rFonts w:ascii="Arial" w:hAnsi="Arial" w:cs="Arial"/>
        </w:rPr>
        <w:t xml:space="preserve">). </w:t>
      </w:r>
      <w:r w:rsidRPr="006150A3">
        <w:rPr>
          <w:rFonts w:ascii="Arial" w:hAnsi="Arial" w:cs="Arial"/>
          <w:i/>
        </w:rPr>
        <w:t xml:space="preserve">Revista Alergia De </w:t>
      </w:r>
      <w:proofErr w:type="spellStart"/>
      <w:r w:rsidRPr="006150A3">
        <w:rPr>
          <w:rFonts w:ascii="Arial" w:hAnsi="Arial" w:cs="Arial"/>
          <w:i/>
        </w:rPr>
        <w:t>Mexico</w:t>
      </w:r>
      <w:proofErr w:type="spellEnd"/>
      <w:r w:rsidRPr="006150A3">
        <w:rPr>
          <w:rFonts w:ascii="Arial" w:hAnsi="Arial" w:cs="Arial"/>
        </w:rPr>
        <w:t xml:space="preserve">, </w:t>
      </w:r>
      <w:r w:rsidRPr="006150A3">
        <w:rPr>
          <w:rFonts w:ascii="Arial" w:hAnsi="Arial" w:cs="Arial"/>
          <w:i/>
        </w:rPr>
        <w:t>60</w:t>
      </w:r>
      <w:r w:rsidRPr="006150A3">
        <w:rPr>
          <w:rFonts w:ascii="Arial" w:hAnsi="Arial" w:cs="Arial"/>
        </w:rPr>
        <w:t>(3), 117-122</w:t>
      </w:r>
    </w:p>
    <w:p w14:paraId="4469AEF3" w14:textId="77777777" w:rsidR="006150A3" w:rsidRPr="006150A3" w:rsidRDefault="006150A3" w:rsidP="00347DA9">
      <w:pPr>
        <w:spacing w:line="360" w:lineRule="auto"/>
        <w:ind w:left="709" w:hanging="709"/>
        <w:jc w:val="both"/>
        <w:rPr>
          <w:rFonts w:ascii="Arial" w:hAnsi="Arial" w:cs="Arial"/>
        </w:rPr>
      </w:pPr>
      <w:r w:rsidRPr="006150A3">
        <w:rPr>
          <w:rFonts w:ascii="Arial" w:hAnsi="Arial" w:cs="Arial"/>
        </w:rPr>
        <w:t xml:space="preserve">Asma y obesidad. (2016). </w:t>
      </w:r>
      <w:r w:rsidRPr="006150A3">
        <w:rPr>
          <w:rFonts w:ascii="Arial" w:hAnsi="Arial" w:cs="Arial"/>
          <w:i/>
        </w:rPr>
        <w:t>Revista de la Facultad de Medicina de la UNAM</w:t>
      </w:r>
      <w:r w:rsidRPr="006150A3">
        <w:rPr>
          <w:rFonts w:ascii="Arial" w:hAnsi="Arial" w:cs="Arial"/>
        </w:rPr>
        <w:t xml:space="preserve">, </w:t>
      </w:r>
      <w:r w:rsidRPr="006150A3">
        <w:rPr>
          <w:rFonts w:ascii="Arial" w:hAnsi="Arial" w:cs="Arial"/>
          <w:i/>
        </w:rPr>
        <w:t>59</w:t>
      </w:r>
      <w:r w:rsidRPr="006150A3">
        <w:rPr>
          <w:rFonts w:ascii="Arial" w:hAnsi="Arial" w:cs="Arial"/>
        </w:rPr>
        <w:t>(4), 42-45.</w:t>
      </w:r>
    </w:p>
    <w:p w14:paraId="25696849" w14:textId="77777777" w:rsidR="006150A3" w:rsidRPr="006150A3" w:rsidRDefault="006150A3" w:rsidP="00347DA9">
      <w:pPr>
        <w:spacing w:line="360" w:lineRule="auto"/>
        <w:ind w:left="709" w:hanging="709"/>
        <w:jc w:val="both"/>
        <w:rPr>
          <w:rFonts w:ascii="Arial" w:hAnsi="Arial" w:cs="Arial"/>
        </w:rPr>
      </w:pPr>
      <w:proofErr w:type="spellStart"/>
      <w:r w:rsidRPr="006150A3">
        <w:rPr>
          <w:rFonts w:ascii="Arial" w:hAnsi="Arial" w:cs="Arial"/>
        </w:rPr>
        <w:t>Alvarez</w:t>
      </w:r>
      <w:proofErr w:type="spellEnd"/>
      <w:r w:rsidRPr="006150A3">
        <w:rPr>
          <w:rFonts w:ascii="Arial" w:hAnsi="Arial" w:cs="Arial"/>
        </w:rPr>
        <w:t xml:space="preserve"> Zallo, N., Guillen Grima, F., Aguinaga-</w:t>
      </w:r>
      <w:proofErr w:type="spellStart"/>
      <w:r w:rsidRPr="006150A3">
        <w:rPr>
          <w:rFonts w:ascii="Arial" w:hAnsi="Arial" w:cs="Arial"/>
        </w:rPr>
        <w:t>Ontoso</w:t>
      </w:r>
      <w:proofErr w:type="spellEnd"/>
      <w:r w:rsidRPr="006150A3">
        <w:rPr>
          <w:rFonts w:ascii="Arial" w:hAnsi="Arial" w:cs="Arial"/>
        </w:rPr>
        <w:t>, I., Hermoso-de-Mendoza-Cantón, J., Marín Fernández, B., Serrano-</w:t>
      </w:r>
      <w:proofErr w:type="spellStart"/>
      <w:r w:rsidRPr="006150A3">
        <w:rPr>
          <w:rFonts w:ascii="Arial" w:hAnsi="Arial" w:cs="Arial"/>
        </w:rPr>
        <w:t>Monzó</w:t>
      </w:r>
      <w:proofErr w:type="spellEnd"/>
      <w:r w:rsidRPr="006150A3">
        <w:rPr>
          <w:rFonts w:ascii="Arial" w:hAnsi="Arial" w:cs="Arial"/>
        </w:rPr>
        <w:t xml:space="preserve">, I., &amp; ... Álvarez Zallo, N. (2014). Estudio de prevalencia y asociación entre síntomas de asma y obesidad en la población pediátrica de Pamplona. </w:t>
      </w:r>
      <w:proofErr w:type="spellStart"/>
      <w:r w:rsidRPr="006150A3">
        <w:rPr>
          <w:rFonts w:ascii="Arial" w:hAnsi="Arial" w:cs="Arial"/>
          <w:i/>
        </w:rPr>
        <w:t>Nutricion</w:t>
      </w:r>
      <w:proofErr w:type="spellEnd"/>
      <w:r w:rsidRPr="006150A3">
        <w:rPr>
          <w:rFonts w:ascii="Arial" w:hAnsi="Arial" w:cs="Arial"/>
          <w:i/>
        </w:rPr>
        <w:t xml:space="preserve"> Hospitalaria</w:t>
      </w:r>
      <w:r w:rsidRPr="006150A3">
        <w:rPr>
          <w:rFonts w:ascii="Arial" w:hAnsi="Arial" w:cs="Arial"/>
        </w:rPr>
        <w:t xml:space="preserve">, </w:t>
      </w:r>
      <w:r w:rsidRPr="006150A3">
        <w:rPr>
          <w:rFonts w:ascii="Arial" w:hAnsi="Arial" w:cs="Arial"/>
          <w:i/>
        </w:rPr>
        <w:t>30</w:t>
      </w:r>
      <w:r w:rsidRPr="006150A3">
        <w:rPr>
          <w:rFonts w:ascii="Arial" w:hAnsi="Arial" w:cs="Arial"/>
        </w:rPr>
        <w:t>(3), 519-525. doi:10.3305/nh.2014.30.3.7434</w:t>
      </w:r>
    </w:p>
    <w:p w14:paraId="57D28159" w14:textId="77777777" w:rsidR="006150A3" w:rsidRPr="006150A3" w:rsidRDefault="006150A3" w:rsidP="00347DA9">
      <w:pPr>
        <w:spacing w:line="360" w:lineRule="auto"/>
        <w:ind w:left="709" w:hanging="709"/>
        <w:jc w:val="both"/>
        <w:rPr>
          <w:rFonts w:ascii="Arial" w:hAnsi="Arial" w:cs="Arial"/>
        </w:rPr>
      </w:pPr>
      <w:r w:rsidRPr="006150A3">
        <w:rPr>
          <w:rFonts w:ascii="Arial" w:hAnsi="Arial" w:cs="Arial"/>
        </w:rPr>
        <w:t xml:space="preserve">Galicia-Negrete, G., &amp; </w:t>
      </w:r>
      <w:proofErr w:type="spellStart"/>
      <w:r w:rsidRPr="006150A3">
        <w:rPr>
          <w:rFonts w:ascii="Arial" w:hAnsi="Arial" w:cs="Arial"/>
        </w:rPr>
        <w:t>Falfán</w:t>
      </w:r>
      <w:proofErr w:type="spellEnd"/>
      <w:r w:rsidRPr="006150A3">
        <w:rPr>
          <w:rFonts w:ascii="Arial" w:hAnsi="Arial" w:cs="Arial"/>
        </w:rPr>
        <w:t xml:space="preserve">-Valencia, R. (2017). Mediadores de la respuesta inflamatoria en asma y su </w:t>
      </w:r>
      <w:proofErr w:type="spellStart"/>
      <w:r w:rsidRPr="006150A3">
        <w:rPr>
          <w:rFonts w:ascii="Arial" w:hAnsi="Arial" w:cs="Arial"/>
        </w:rPr>
        <w:t>relacióncon</w:t>
      </w:r>
      <w:proofErr w:type="spellEnd"/>
      <w:r w:rsidRPr="006150A3">
        <w:rPr>
          <w:rFonts w:ascii="Arial" w:hAnsi="Arial" w:cs="Arial"/>
        </w:rPr>
        <w:t xml:space="preserve"> obesidad. (</w:t>
      </w:r>
      <w:proofErr w:type="spellStart"/>
      <w:r w:rsidRPr="006150A3">
        <w:rPr>
          <w:rFonts w:ascii="Arial" w:hAnsi="Arial" w:cs="Arial"/>
        </w:rPr>
        <w:t>Spanish</w:t>
      </w:r>
      <w:proofErr w:type="spellEnd"/>
      <w:r w:rsidRPr="006150A3">
        <w:rPr>
          <w:rFonts w:ascii="Arial" w:hAnsi="Arial" w:cs="Arial"/>
        </w:rPr>
        <w:t xml:space="preserve">). </w:t>
      </w:r>
      <w:r w:rsidRPr="006150A3">
        <w:rPr>
          <w:rFonts w:ascii="Arial" w:hAnsi="Arial" w:cs="Arial"/>
          <w:i/>
        </w:rPr>
        <w:t xml:space="preserve">Revista Alergia De </w:t>
      </w:r>
      <w:proofErr w:type="spellStart"/>
      <w:r w:rsidRPr="006150A3">
        <w:rPr>
          <w:rFonts w:ascii="Arial" w:hAnsi="Arial" w:cs="Arial"/>
          <w:i/>
        </w:rPr>
        <w:t>Mexico</w:t>
      </w:r>
      <w:proofErr w:type="spellEnd"/>
      <w:r w:rsidRPr="006150A3">
        <w:rPr>
          <w:rFonts w:ascii="Arial" w:hAnsi="Arial" w:cs="Arial"/>
        </w:rPr>
        <w:t xml:space="preserve">, </w:t>
      </w:r>
      <w:r w:rsidRPr="006150A3">
        <w:rPr>
          <w:rFonts w:ascii="Arial" w:hAnsi="Arial" w:cs="Arial"/>
          <w:i/>
        </w:rPr>
        <w:t>64</w:t>
      </w:r>
      <w:r w:rsidRPr="006150A3">
        <w:rPr>
          <w:rFonts w:ascii="Arial" w:hAnsi="Arial" w:cs="Arial"/>
        </w:rPr>
        <w:t>(2), 198-205.</w:t>
      </w:r>
    </w:p>
    <w:p w14:paraId="41B92273" w14:textId="77777777" w:rsidR="006150A3" w:rsidRDefault="006150A3"/>
    <w:sectPr w:rsidR="006150A3" w:rsidSect="006150A3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oNotDisplayPageBoundaries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A3"/>
    <w:rsid w:val="000F40EF"/>
    <w:rsid w:val="00347DA9"/>
    <w:rsid w:val="00425967"/>
    <w:rsid w:val="00517875"/>
    <w:rsid w:val="006150A3"/>
    <w:rsid w:val="00644AD0"/>
    <w:rsid w:val="00664FB1"/>
    <w:rsid w:val="0086605C"/>
    <w:rsid w:val="00EB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A65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50A3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2">
    <w:name w:val="Plain Table 2"/>
    <w:basedOn w:val="Tablanormal"/>
    <w:uiPriority w:val="42"/>
    <w:rsid w:val="006150A3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lang w:val="en-US" w:eastAsia="es-ES_tradnl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708</Words>
  <Characters>3895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18</cp:revision>
  <dcterms:created xsi:type="dcterms:W3CDTF">2017-08-26T05:07:00Z</dcterms:created>
  <dcterms:modified xsi:type="dcterms:W3CDTF">2017-08-27T04:36:00Z</dcterms:modified>
</cp:coreProperties>
</file>