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FD70" w14:textId="7C12AF01" w:rsidR="0089340D" w:rsidRPr="00ED4B34" w:rsidRDefault="0023317F" w:rsidP="0045560D">
      <w:pPr>
        <w:spacing w:before="100" w:beforeAutospacing="1" w:after="100" w:afterAutospacing="1" w:line="360" w:lineRule="auto"/>
        <w:contextualSpacing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Evaluación del efecto combinado de la proteína de 30 kDa de </w:t>
      </w:r>
      <w:r w:rsidRPr="001544A8">
        <w:rPr>
          <w:rFonts w:ascii="Arial" w:eastAsia="Arial" w:hAnsi="Arial" w:cs="Arial"/>
          <w:b/>
          <w:bCs/>
          <w:i/>
          <w:sz w:val="24"/>
          <w:szCs w:val="24"/>
        </w:rPr>
        <w:t>Salmonella typhimurium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7581D"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el suero de pacientes con espondilitis anquilosante en la formación de trampas extracelulares de neutrófilos</w:t>
      </w:r>
    </w:p>
    <w:p w14:paraId="793C42BF" w14:textId="42E0CD33" w:rsidR="000C7397" w:rsidRDefault="000C7397" w:rsidP="00431A27">
      <w:pPr>
        <w:spacing w:before="100" w:beforeAutospacing="1" w:after="100" w:afterAutospacing="1" w:line="36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Dalia Verónica Vela Flores </w:t>
      </w:r>
    </w:p>
    <w:p w14:paraId="490BED12" w14:textId="73D0BA89" w:rsidR="00C5585E" w:rsidRPr="0045560D" w:rsidRDefault="0089340D" w:rsidP="0045560D">
      <w:pPr>
        <w:spacing w:before="100" w:beforeAutospacing="1" w:after="100" w:afterAutospacing="1" w:line="360" w:lineRule="auto"/>
        <w:contextualSpacing/>
        <w:rPr>
          <w:rFonts w:ascii="Arial" w:eastAsia="Arial" w:hAnsi="Arial" w:cs="Arial"/>
          <w:bCs/>
          <w:sz w:val="24"/>
          <w:szCs w:val="24"/>
        </w:rPr>
      </w:pPr>
      <w:r w:rsidRPr="009406CB">
        <w:rPr>
          <w:rFonts w:ascii="Arial" w:eastAsia="Arial" w:hAnsi="Arial" w:cs="Arial"/>
          <w:bCs/>
          <w:sz w:val="24"/>
          <w:szCs w:val="24"/>
        </w:rPr>
        <w:t>Juan Manuel Agraz Cibrián, Jo</w:t>
      </w:r>
      <w:r w:rsidR="000C7397" w:rsidRPr="009406CB">
        <w:rPr>
          <w:rFonts w:ascii="Arial" w:eastAsia="Arial" w:hAnsi="Arial" w:cs="Arial"/>
          <w:bCs/>
          <w:sz w:val="24"/>
          <w:szCs w:val="24"/>
        </w:rPr>
        <w:t>sé Francisco Zambrano Zaragoza,</w:t>
      </w:r>
      <w:r w:rsidRPr="009406CB">
        <w:rPr>
          <w:rFonts w:ascii="Arial" w:eastAsia="Arial" w:hAnsi="Arial" w:cs="Arial"/>
          <w:bCs/>
          <w:sz w:val="24"/>
          <w:szCs w:val="24"/>
        </w:rPr>
        <w:t xml:space="preserve"> Brallan Antonio Mejía Macias, Osmar Miguel Gutierréz Castro </w:t>
      </w:r>
    </w:p>
    <w:p w14:paraId="7CA92865" w14:textId="5270297E" w:rsidR="007B59C2" w:rsidRDefault="00C5585E" w:rsidP="009406CB">
      <w:pPr>
        <w:spacing w:before="100" w:beforeAutospacing="1" w:after="100" w:afterAutospacing="1" w:line="360" w:lineRule="auto"/>
        <w:ind w:firstLine="709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RESUMEN</w:t>
      </w:r>
    </w:p>
    <w:p w14:paraId="64F9C9FF" w14:textId="0F393407" w:rsidR="00A7405B" w:rsidRPr="00A7405B" w:rsidRDefault="005C199E" w:rsidP="005C199E">
      <w:pPr>
        <w:spacing w:before="100" w:beforeAutospacing="1" w:after="100" w:afterAutospacing="1" w:line="360" w:lineRule="auto"/>
        <w:contextualSpacing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La espodilitis anquilosante</w:t>
      </w:r>
      <w:r w:rsidR="0039638B">
        <w:rPr>
          <w:rFonts w:ascii="Arial" w:eastAsia="Arial" w:hAnsi="Arial" w:cs="Arial"/>
          <w:bCs/>
          <w:sz w:val="24"/>
          <w:szCs w:val="24"/>
        </w:rPr>
        <w:t xml:space="preserve"> (EA)</w:t>
      </w:r>
      <w:r>
        <w:rPr>
          <w:rFonts w:ascii="Arial" w:eastAsia="Arial" w:hAnsi="Arial" w:cs="Arial"/>
          <w:bCs/>
          <w:sz w:val="24"/>
          <w:szCs w:val="24"/>
        </w:rPr>
        <w:t xml:space="preserve"> es una enfermedad inflamatoria de origen autoinmune, </w:t>
      </w:r>
      <w:r w:rsidR="00AD7A10">
        <w:rPr>
          <w:rFonts w:ascii="Arial" w:eastAsia="Arial" w:hAnsi="Arial" w:cs="Arial"/>
          <w:bCs/>
          <w:sz w:val="24"/>
          <w:szCs w:val="24"/>
        </w:rPr>
        <w:t xml:space="preserve">en la que los mecanismos inmunopatológicos no están </w:t>
      </w:r>
      <w:r w:rsidR="00DA4E35">
        <w:rPr>
          <w:rFonts w:ascii="Arial" w:eastAsia="Arial" w:hAnsi="Arial" w:cs="Arial"/>
          <w:bCs/>
          <w:sz w:val="24"/>
          <w:szCs w:val="24"/>
        </w:rPr>
        <w:t>completamente</w:t>
      </w:r>
      <w:r w:rsidR="00AD7A10">
        <w:rPr>
          <w:rFonts w:ascii="Arial" w:eastAsia="Arial" w:hAnsi="Arial" w:cs="Arial"/>
          <w:bCs/>
          <w:sz w:val="24"/>
          <w:szCs w:val="24"/>
        </w:rPr>
        <w:t xml:space="preserve"> descritos</w:t>
      </w:r>
      <w:r w:rsidR="00A7405B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AD7A10">
        <w:rPr>
          <w:rFonts w:ascii="Arial" w:eastAsia="Arial" w:hAnsi="Arial" w:cs="Arial"/>
          <w:bCs/>
          <w:sz w:val="24"/>
          <w:szCs w:val="24"/>
        </w:rPr>
        <w:t>aunque se acepta que tanto</w:t>
      </w:r>
      <w:r>
        <w:rPr>
          <w:rFonts w:ascii="Arial" w:eastAsia="Arial" w:hAnsi="Arial" w:cs="Arial"/>
          <w:bCs/>
          <w:sz w:val="24"/>
          <w:szCs w:val="24"/>
        </w:rPr>
        <w:t xml:space="preserve"> factores genéticos</w:t>
      </w:r>
      <w:r w:rsidR="00AD7A10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como el gen HLA-B27</w:t>
      </w:r>
      <w:r w:rsidR="00AD7A10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y ambientales</w:t>
      </w:r>
      <w:r w:rsidR="00AD7A10">
        <w:rPr>
          <w:rFonts w:ascii="Arial" w:eastAsia="Arial" w:hAnsi="Arial" w:cs="Arial"/>
          <w:bCs/>
          <w:sz w:val="24"/>
          <w:szCs w:val="24"/>
        </w:rPr>
        <w:t>,</w:t>
      </w:r>
      <w:r>
        <w:rPr>
          <w:rFonts w:ascii="Arial" w:eastAsia="Arial" w:hAnsi="Arial" w:cs="Arial"/>
          <w:bCs/>
          <w:sz w:val="24"/>
          <w:szCs w:val="24"/>
        </w:rPr>
        <w:t xml:space="preserve"> como </w:t>
      </w:r>
      <w:r w:rsidR="0039638B">
        <w:rPr>
          <w:rFonts w:ascii="Arial" w:eastAsia="Arial" w:hAnsi="Arial" w:cs="Arial"/>
          <w:bCs/>
          <w:sz w:val="24"/>
          <w:szCs w:val="24"/>
        </w:rPr>
        <w:t>lo son infeccciones con enterobacterias (</w:t>
      </w:r>
      <w:r w:rsidR="00CB5E84">
        <w:rPr>
          <w:rFonts w:ascii="Arial" w:eastAsia="Arial" w:hAnsi="Arial" w:cs="Arial"/>
          <w:bCs/>
          <w:i/>
          <w:sz w:val="24"/>
          <w:szCs w:val="24"/>
        </w:rPr>
        <w:t>Salmonella</w:t>
      </w:r>
      <w:r w:rsidRPr="0039638B">
        <w:rPr>
          <w:rFonts w:ascii="Arial" w:eastAsia="Arial" w:hAnsi="Arial" w:cs="Arial"/>
          <w:bCs/>
          <w:i/>
          <w:sz w:val="24"/>
          <w:szCs w:val="24"/>
        </w:rPr>
        <w:t xml:space="preserve"> </w:t>
      </w:r>
      <w:r w:rsidR="0039638B">
        <w:rPr>
          <w:rFonts w:ascii="Arial" w:eastAsia="Arial" w:hAnsi="Arial" w:cs="Arial"/>
          <w:bCs/>
          <w:i/>
          <w:sz w:val="24"/>
          <w:szCs w:val="24"/>
        </w:rPr>
        <w:t>t</w:t>
      </w:r>
      <w:r w:rsidRPr="0039638B">
        <w:rPr>
          <w:rFonts w:ascii="Arial" w:eastAsia="Arial" w:hAnsi="Arial" w:cs="Arial"/>
          <w:bCs/>
          <w:i/>
          <w:sz w:val="24"/>
          <w:szCs w:val="24"/>
        </w:rPr>
        <w:t>yphimurium</w:t>
      </w:r>
      <w:r w:rsidR="0039638B">
        <w:rPr>
          <w:rFonts w:ascii="Arial" w:eastAsia="Arial" w:hAnsi="Arial" w:cs="Arial"/>
          <w:bCs/>
          <w:sz w:val="24"/>
          <w:szCs w:val="24"/>
        </w:rPr>
        <w:t>)</w:t>
      </w:r>
      <w:r w:rsidR="00AD7A10">
        <w:rPr>
          <w:rFonts w:ascii="Arial" w:eastAsia="Arial" w:hAnsi="Arial" w:cs="Arial"/>
          <w:bCs/>
          <w:sz w:val="24"/>
          <w:szCs w:val="24"/>
        </w:rPr>
        <w:t>,</w:t>
      </w:r>
      <w:r w:rsidR="0039638B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se asocian con la enfermedad. </w:t>
      </w:r>
      <w:r w:rsidR="0045560D">
        <w:rPr>
          <w:rFonts w:ascii="Arial" w:eastAsia="Arial" w:hAnsi="Arial" w:cs="Arial"/>
          <w:bCs/>
          <w:i/>
          <w:sz w:val="24"/>
          <w:szCs w:val="24"/>
        </w:rPr>
        <w:t>Salmonella</w:t>
      </w:r>
      <w:r w:rsidR="0039638B" w:rsidRPr="0039638B">
        <w:rPr>
          <w:rFonts w:ascii="Arial" w:eastAsia="Arial" w:hAnsi="Arial" w:cs="Arial"/>
          <w:bCs/>
          <w:i/>
          <w:sz w:val="24"/>
          <w:szCs w:val="24"/>
        </w:rPr>
        <w:t xml:space="preserve"> </w:t>
      </w:r>
      <w:r w:rsidR="0039638B">
        <w:rPr>
          <w:rFonts w:ascii="Arial" w:eastAsia="Arial" w:hAnsi="Arial" w:cs="Arial"/>
          <w:bCs/>
          <w:i/>
          <w:sz w:val="24"/>
          <w:szCs w:val="24"/>
        </w:rPr>
        <w:t>t</w:t>
      </w:r>
      <w:r w:rsidR="0039638B" w:rsidRPr="0039638B">
        <w:rPr>
          <w:rFonts w:ascii="Arial" w:eastAsia="Arial" w:hAnsi="Arial" w:cs="Arial"/>
          <w:bCs/>
          <w:i/>
          <w:sz w:val="24"/>
          <w:szCs w:val="24"/>
        </w:rPr>
        <w:t>yphimurium</w:t>
      </w:r>
      <w:r>
        <w:rPr>
          <w:rFonts w:ascii="Arial" w:eastAsia="Arial" w:hAnsi="Arial" w:cs="Arial"/>
          <w:bCs/>
          <w:sz w:val="24"/>
          <w:szCs w:val="24"/>
        </w:rPr>
        <w:t xml:space="preserve"> p</w:t>
      </w:r>
      <w:r w:rsidR="0039638B">
        <w:rPr>
          <w:rFonts w:ascii="Arial" w:eastAsia="Arial" w:hAnsi="Arial" w:cs="Arial"/>
          <w:bCs/>
          <w:sz w:val="24"/>
          <w:szCs w:val="24"/>
        </w:rPr>
        <w:t>oseé</w:t>
      </w:r>
      <w:r>
        <w:rPr>
          <w:rFonts w:ascii="Arial" w:eastAsia="Arial" w:hAnsi="Arial" w:cs="Arial"/>
          <w:bCs/>
          <w:sz w:val="24"/>
          <w:szCs w:val="24"/>
        </w:rPr>
        <w:t xml:space="preserve"> una proteína de 30 kDa que </w:t>
      </w:r>
      <w:r w:rsidR="0039638B">
        <w:rPr>
          <w:rFonts w:ascii="Arial" w:eastAsia="Arial" w:hAnsi="Arial" w:cs="Arial"/>
          <w:bCs/>
          <w:sz w:val="24"/>
          <w:szCs w:val="24"/>
        </w:rPr>
        <w:t>se ha asociado</w:t>
      </w:r>
      <w:r>
        <w:rPr>
          <w:rFonts w:ascii="Arial" w:eastAsia="Arial" w:hAnsi="Arial" w:cs="Arial"/>
          <w:bCs/>
          <w:sz w:val="24"/>
          <w:szCs w:val="24"/>
        </w:rPr>
        <w:t xml:space="preserve"> con la </w:t>
      </w:r>
      <w:r w:rsidR="0039638B">
        <w:rPr>
          <w:rFonts w:ascii="Arial" w:eastAsia="Arial" w:hAnsi="Arial" w:cs="Arial"/>
          <w:bCs/>
          <w:sz w:val="24"/>
          <w:szCs w:val="24"/>
        </w:rPr>
        <w:t xml:space="preserve">EA, </w:t>
      </w:r>
      <w:r>
        <w:rPr>
          <w:rFonts w:ascii="Arial" w:eastAsia="Arial" w:hAnsi="Arial" w:cs="Arial"/>
          <w:bCs/>
          <w:sz w:val="24"/>
          <w:szCs w:val="24"/>
        </w:rPr>
        <w:t xml:space="preserve">ya que </w:t>
      </w:r>
      <w:r w:rsidR="0039638B">
        <w:rPr>
          <w:rFonts w:ascii="Arial" w:eastAsia="Arial" w:hAnsi="Arial" w:cs="Arial"/>
          <w:bCs/>
          <w:sz w:val="24"/>
          <w:szCs w:val="24"/>
        </w:rPr>
        <w:t xml:space="preserve">se ha reportado que los </w:t>
      </w:r>
      <w:r>
        <w:rPr>
          <w:rFonts w:ascii="Arial" w:eastAsia="Arial" w:hAnsi="Arial" w:cs="Arial"/>
          <w:bCs/>
          <w:sz w:val="24"/>
          <w:szCs w:val="24"/>
        </w:rPr>
        <w:t>pacientes con EA presentan</w:t>
      </w:r>
      <w:r w:rsidR="00A7405B">
        <w:rPr>
          <w:rFonts w:ascii="Arial" w:eastAsia="Arial" w:hAnsi="Arial" w:cs="Arial"/>
          <w:bCs/>
          <w:sz w:val="24"/>
          <w:szCs w:val="24"/>
        </w:rPr>
        <w:t xml:space="preserve"> niveles altos de</w:t>
      </w:r>
      <w:r>
        <w:rPr>
          <w:rFonts w:ascii="Arial" w:eastAsia="Arial" w:hAnsi="Arial" w:cs="Arial"/>
          <w:bCs/>
          <w:sz w:val="24"/>
          <w:szCs w:val="24"/>
        </w:rPr>
        <w:t xml:space="preserve"> anticuerpos contra esta proteína. Sin embargo, aún se desconoce el papel que juega</w:t>
      </w:r>
      <w:r w:rsidR="00A7405B">
        <w:rPr>
          <w:rFonts w:ascii="Arial" w:eastAsia="Arial" w:hAnsi="Arial" w:cs="Arial"/>
          <w:bCs/>
          <w:sz w:val="24"/>
          <w:szCs w:val="24"/>
        </w:rPr>
        <w:t xml:space="preserve"> la</w:t>
      </w:r>
      <w:r w:rsidR="00A7405B">
        <w:rPr>
          <w:rFonts w:ascii="Arial" w:eastAsia="Arial" w:hAnsi="Arial" w:cs="Arial"/>
          <w:bCs/>
          <w:i/>
          <w:sz w:val="24"/>
          <w:szCs w:val="24"/>
        </w:rPr>
        <w:t xml:space="preserve"> </w:t>
      </w:r>
      <w:r w:rsidR="00A7405B">
        <w:rPr>
          <w:rFonts w:ascii="Arial" w:eastAsia="Arial" w:hAnsi="Arial" w:cs="Arial"/>
          <w:bCs/>
          <w:sz w:val="24"/>
          <w:szCs w:val="24"/>
        </w:rPr>
        <w:t xml:space="preserve">p30 de </w:t>
      </w:r>
      <w:r w:rsidR="00A7405B" w:rsidRPr="0039638B">
        <w:rPr>
          <w:rFonts w:ascii="Arial" w:eastAsia="Arial" w:hAnsi="Arial" w:cs="Arial"/>
          <w:bCs/>
          <w:i/>
          <w:sz w:val="24"/>
          <w:szCs w:val="24"/>
        </w:rPr>
        <w:t xml:space="preserve">S. </w:t>
      </w:r>
      <w:r w:rsidR="00A7405B">
        <w:rPr>
          <w:rFonts w:ascii="Arial" w:eastAsia="Arial" w:hAnsi="Arial" w:cs="Arial"/>
          <w:bCs/>
          <w:i/>
          <w:sz w:val="24"/>
          <w:szCs w:val="24"/>
        </w:rPr>
        <w:t>t</w:t>
      </w:r>
      <w:r w:rsidR="00A7405B" w:rsidRPr="0039638B">
        <w:rPr>
          <w:rFonts w:ascii="Arial" w:eastAsia="Arial" w:hAnsi="Arial" w:cs="Arial"/>
          <w:bCs/>
          <w:i/>
          <w:sz w:val="24"/>
          <w:szCs w:val="24"/>
        </w:rPr>
        <w:t>yphimurium</w:t>
      </w:r>
      <w:r w:rsidR="00A7405B">
        <w:rPr>
          <w:rFonts w:ascii="Arial" w:eastAsia="Arial" w:hAnsi="Arial" w:cs="Arial"/>
          <w:bCs/>
          <w:i/>
          <w:sz w:val="24"/>
          <w:szCs w:val="24"/>
        </w:rPr>
        <w:t xml:space="preserve"> </w:t>
      </w:r>
      <w:r w:rsidR="0039638B">
        <w:rPr>
          <w:rFonts w:ascii="Arial" w:eastAsia="Arial" w:hAnsi="Arial" w:cs="Arial"/>
          <w:bCs/>
          <w:sz w:val="24"/>
          <w:szCs w:val="24"/>
        </w:rPr>
        <w:t xml:space="preserve">en la respuesta inmune innata, principalmente la respuesta </w:t>
      </w:r>
      <w:r>
        <w:rPr>
          <w:rFonts w:ascii="Arial" w:eastAsia="Arial" w:hAnsi="Arial" w:cs="Arial"/>
          <w:bCs/>
          <w:sz w:val="24"/>
          <w:szCs w:val="24"/>
        </w:rPr>
        <w:t>mediada por neutrófilos.</w:t>
      </w:r>
      <w:r w:rsidR="0039638B">
        <w:rPr>
          <w:rFonts w:ascii="Arial" w:eastAsia="Arial" w:hAnsi="Arial" w:cs="Arial"/>
          <w:bCs/>
          <w:sz w:val="24"/>
          <w:szCs w:val="24"/>
        </w:rPr>
        <w:t xml:space="preserve"> Por lo que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4C0147">
        <w:rPr>
          <w:rFonts w:ascii="Arial" w:eastAsia="Arial" w:hAnsi="Arial" w:cs="Arial"/>
          <w:bCs/>
          <w:sz w:val="24"/>
          <w:szCs w:val="24"/>
        </w:rPr>
        <w:t xml:space="preserve">el objetivo </w:t>
      </w:r>
      <w:r w:rsidR="0039638B">
        <w:rPr>
          <w:rFonts w:ascii="Arial" w:eastAsia="Arial" w:hAnsi="Arial" w:cs="Arial"/>
          <w:bCs/>
          <w:sz w:val="24"/>
          <w:szCs w:val="24"/>
        </w:rPr>
        <w:t xml:space="preserve"> </w:t>
      </w:r>
      <w:r w:rsidR="004C0147">
        <w:rPr>
          <w:rFonts w:ascii="Arial" w:eastAsia="Arial" w:hAnsi="Arial" w:cs="Arial"/>
          <w:bCs/>
          <w:sz w:val="24"/>
          <w:szCs w:val="24"/>
        </w:rPr>
        <w:t>d</w:t>
      </w:r>
      <w:r w:rsidR="0039638B">
        <w:rPr>
          <w:rFonts w:ascii="Arial" w:eastAsia="Arial" w:hAnsi="Arial" w:cs="Arial"/>
          <w:bCs/>
          <w:sz w:val="24"/>
          <w:szCs w:val="24"/>
        </w:rPr>
        <w:t xml:space="preserve">el presente trabajo </w:t>
      </w:r>
      <w:r w:rsidR="00AD7A10">
        <w:rPr>
          <w:rFonts w:ascii="Arial" w:eastAsia="Arial" w:hAnsi="Arial" w:cs="Arial"/>
          <w:bCs/>
          <w:sz w:val="24"/>
          <w:szCs w:val="24"/>
        </w:rPr>
        <w:t xml:space="preserve">fue </w:t>
      </w:r>
      <w:r w:rsidR="004C0147">
        <w:rPr>
          <w:rFonts w:ascii="Arial" w:eastAsia="Arial" w:hAnsi="Arial" w:cs="Arial"/>
          <w:bCs/>
          <w:sz w:val="24"/>
          <w:szCs w:val="24"/>
        </w:rPr>
        <w:t>determinar el efecto</w:t>
      </w:r>
      <w:r w:rsidR="0039638B">
        <w:rPr>
          <w:rFonts w:ascii="Arial" w:eastAsia="Arial" w:hAnsi="Arial" w:cs="Arial"/>
          <w:bCs/>
          <w:sz w:val="24"/>
          <w:szCs w:val="24"/>
        </w:rPr>
        <w:t xml:space="preserve"> </w:t>
      </w:r>
      <w:r w:rsidR="004C0147">
        <w:rPr>
          <w:rFonts w:ascii="Arial" w:eastAsia="Arial" w:hAnsi="Arial" w:cs="Arial"/>
          <w:bCs/>
          <w:sz w:val="24"/>
          <w:szCs w:val="24"/>
        </w:rPr>
        <w:t xml:space="preserve">de la p30 de </w:t>
      </w:r>
      <w:r w:rsidR="004C0147" w:rsidRPr="0039638B">
        <w:rPr>
          <w:rFonts w:ascii="Arial" w:eastAsia="Arial" w:hAnsi="Arial" w:cs="Arial"/>
          <w:bCs/>
          <w:i/>
          <w:sz w:val="24"/>
          <w:szCs w:val="24"/>
        </w:rPr>
        <w:t xml:space="preserve">S. </w:t>
      </w:r>
      <w:r w:rsidR="004C0147">
        <w:rPr>
          <w:rFonts w:ascii="Arial" w:eastAsia="Arial" w:hAnsi="Arial" w:cs="Arial"/>
          <w:bCs/>
          <w:i/>
          <w:sz w:val="24"/>
          <w:szCs w:val="24"/>
        </w:rPr>
        <w:t>t</w:t>
      </w:r>
      <w:r w:rsidR="004C0147" w:rsidRPr="0039638B">
        <w:rPr>
          <w:rFonts w:ascii="Arial" w:eastAsia="Arial" w:hAnsi="Arial" w:cs="Arial"/>
          <w:bCs/>
          <w:i/>
          <w:sz w:val="24"/>
          <w:szCs w:val="24"/>
        </w:rPr>
        <w:t>yphimurium</w:t>
      </w:r>
      <w:r w:rsidR="004C0147">
        <w:rPr>
          <w:rFonts w:ascii="Arial" w:eastAsia="Arial" w:hAnsi="Arial" w:cs="Arial"/>
          <w:bCs/>
          <w:sz w:val="24"/>
          <w:szCs w:val="24"/>
        </w:rPr>
        <w:t xml:space="preserve"> en combinación con suero de pacientes con EA sobre la</w:t>
      </w:r>
      <w:r w:rsidR="0039638B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 xml:space="preserve">producción </w:t>
      </w:r>
      <w:r w:rsidR="0039638B">
        <w:rPr>
          <w:rFonts w:ascii="Arial" w:eastAsia="Arial" w:hAnsi="Arial" w:cs="Arial"/>
          <w:bCs/>
          <w:sz w:val="24"/>
          <w:szCs w:val="24"/>
        </w:rPr>
        <w:t>de trampa</w:t>
      </w:r>
      <w:r w:rsidR="004C0147">
        <w:rPr>
          <w:rFonts w:ascii="Arial" w:eastAsia="Arial" w:hAnsi="Arial" w:cs="Arial"/>
          <w:bCs/>
          <w:sz w:val="24"/>
          <w:szCs w:val="24"/>
        </w:rPr>
        <w:t xml:space="preserve">s extracelulares de neutrófilos (NETs). La separación de neutrófilos se realizó mediante un gradiente de densidad. Los estímulos utilizados para inducir  NETs fueron; p30 de </w:t>
      </w:r>
      <w:r w:rsidR="004C0147" w:rsidRPr="0039638B">
        <w:rPr>
          <w:rFonts w:ascii="Arial" w:eastAsia="Arial" w:hAnsi="Arial" w:cs="Arial"/>
          <w:bCs/>
          <w:i/>
          <w:sz w:val="24"/>
          <w:szCs w:val="24"/>
        </w:rPr>
        <w:t xml:space="preserve">S. </w:t>
      </w:r>
      <w:r w:rsidR="004C0147">
        <w:rPr>
          <w:rFonts w:ascii="Arial" w:eastAsia="Arial" w:hAnsi="Arial" w:cs="Arial"/>
          <w:bCs/>
          <w:i/>
          <w:sz w:val="24"/>
          <w:szCs w:val="24"/>
        </w:rPr>
        <w:t>t</w:t>
      </w:r>
      <w:r w:rsidR="004C0147" w:rsidRPr="0039638B">
        <w:rPr>
          <w:rFonts w:ascii="Arial" w:eastAsia="Arial" w:hAnsi="Arial" w:cs="Arial"/>
          <w:bCs/>
          <w:i/>
          <w:sz w:val="24"/>
          <w:szCs w:val="24"/>
        </w:rPr>
        <w:t>yphimurium</w:t>
      </w:r>
      <w:r w:rsidR="00A7405B">
        <w:rPr>
          <w:rFonts w:ascii="Arial" w:eastAsia="Arial" w:hAnsi="Arial" w:cs="Arial"/>
          <w:bCs/>
          <w:i/>
          <w:sz w:val="24"/>
          <w:szCs w:val="24"/>
        </w:rPr>
        <w:t>;</w:t>
      </w:r>
      <w:r w:rsidR="004C0147">
        <w:rPr>
          <w:rFonts w:ascii="Arial" w:eastAsia="Arial" w:hAnsi="Arial" w:cs="Arial"/>
          <w:bCs/>
          <w:i/>
          <w:sz w:val="24"/>
          <w:szCs w:val="24"/>
        </w:rPr>
        <w:t xml:space="preserve">  </w:t>
      </w:r>
      <w:r w:rsidR="00A7405B">
        <w:rPr>
          <w:rFonts w:ascii="Arial" w:eastAsia="Arial" w:hAnsi="Arial" w:cs="Arial"/>
          <w:bCs/>
          <w:sz w:val="24"/>
          <w:szCs w:val="24"/>
        </w:rPr>
        <w:t xml:space="preserve">p30 de </w:t>
      </w:r>
      <w:r w:rsidR="00A7405B" w:rsidRPr="0039638B">
        <w:rPr>
          <w:rFonts w:ascii="Arial" w:eastAsia="Arial" w:hAnsi="Arial" w:cs="Arial"/>
          <w:bCs/>
          <w:i/>
          <w:sz w:val="24"/>
          <w:szCs w:val="24"/>
        </w:rPr>
        <w:t xml:space="preserve">S. </w:t>
      </w:r>
      <w:r w:rsidR="00A7405B">
        <w:rPr>
          <w:rFonts w:ascii="Arial" w:eastAsia="Arial" w:hAnsi="Arial" w:cs="Arial"/>
          <w:bCs/>
          <w:i/>
          <w:sz w:val="24"/>
          <w:szCs w:val="24"/>
        </w:rPr>
        <w:t>t</w:t>
      </w:r>
      <w:r w:rsidR="00A7405B" w:rsidRPr="0039638B">
        <w:rPr>
          <w:rFonts w:ascii="Arial" w:eastAsia="Arial" w:hAnsi="Arial" w:cs="Arial"/>
          <w:bCs/>
          <w:i/>
          <w:sz w:val="24"/>
          <w:szCs w:val="24"/>
        </w:rPr>
        <w:t>yphimurium</w:t>
      </w:r>
      <w:r w:rsidR="00A7405B">
        <w:rPr>
          <w:rFonts w:ascii="Arial" w:eastAsia="Arial" w:hAnsi="Arial" w:cs="Arial"/>
          <w:bCs/>
          <w:i/>
          <w:sz w:val="24"/>
          <w:szCs w:val="24"/>
        </w:rPr>
        <w:t xml:space="preserve"> </w:t>
      </w:r>
      <w:r w:rsidR="00A7405B" w:rsidRPr="00A7405B">
        <w:rPr>
          <w:rFonts w:ascii="Arial" w:eastAsia="Arial" w:hAnsi="Arial" w:cs="Arial"/>
          <w:bCs/>
          <w:sz w:val="24"/>
          <w:szCs w:val="24"/>
        </w:rPr>
        <w:t>combinada con</w:t>
      </w:r>
      <w:r w:rsidR="004C0147" w:rsidRPr="00A7405B">
        <w:rPr>
          <w:rFonts w:ascii="Arial" w:eastAsia="Arial" w:hAnsi="Arial" w:cs="Arial"/>
          <w:bCs/>
          <w:sz w:val="24"/>
          <w:szCs w:val="24"/>
        </w:rPr>
        <w:t>suero de pacientes</w:t>
      </w:r>
      <w:r w:rsidR="00A7405B">
        <w:rPr>
          <w:rFonts w:ascii="Arial" w:eastAsia="Arial" w:hAnsi="Arial" w:cs="Arial"/>
          <w:bCs/>
          <w:sz w:val="24"/>
          <w:szCs w:val="24"/>
        </w:rPr>
        <w:t xml:space="preserve"> con EA</w:t>
      </w:r>
      <w:r w:rsidR="004C0147" w:rsidRPr="00A7405B">
        <w:rPr>
          <w:rFonts w:ascii="Arial" w:eastAsia="Arial" w:hAnsi="Arial" w:cs="Arial"/>
          <w:bCs/>
          <w:sz w:val="24"/>
          <w:szCs w:val="24"/>
        </w:rPr>
        <w:t xml:space="preserve"> o sujetos sanos</w:t>
      </w:r>
      <w:r w:rsidR="00A7405B">
        <w:rPr>
          <w:rFonts w:ascii="Arial" w:eastAsia="Arial" w:hAnsi="Arial" w:cs="Arial"/>
          <w:bCs/>
          <w:sz w:val="24"/>
          <w:szCs w:val="24"/>
        </w:rPr>
        <w:t xml:space="preserve">. Las producción de NETs se observó en microscopio de fluorescencia. </w:t>
      </w:r>
      <w:r w:rsidR="00AD7A10">
        <w:rPr>
          <w:rFonts w:ascii="Arial" w:eastAsia="Arial" w:hAnsi="Arial" w:cs="Arial"/>
          <w:bCs/>
          <w:sz w:val="24"/>
          <w:szCs w:val="24"/>
        </w:rPr>
        <w:t>Nuestros resultados indican</w:t>
      </w:r>
      <w:r w:rsidR="00A7405B">
        <w:rPr>
          <w:rFonts w:ascii="Arial" w:eastAsia="Arial" w:hAnsi="Arial" w:cs="Arial"/>
          <w:bCs/>
          <w:sz w:val="24"/>
          <w:szCs w:val="24"/>
        </w:rPr>
        <w:t xml:space="preserve"> que la p30 de </w:t>
      </w:r>
      <w:r w:rsidR="00A7405B" w:rsidRPr="0039638B">
        <w:rPr>
          <w:rFonts w:ascii="Arial" w:eastAsia="Arial" w:hAnsi="Arial" w:cs="Arial"/>
          <w:bCs/>
          <w:i/>
          <w:sz w:val="24"/>
          <w:szCs w:val="24"/>
        </w:rPr>
        <w:t xml:space="preserve">S. </w:t>
      </w:r>
      <w:r w:rsidR="00A7405B">
        <w:rPr>
          <w:rFonts w:ascii="Arial" w:eastAsia="Arial" w:hAnsi="Arial" w:cs="Arial"/>
          <w:bCs/>
          <w:i/>
          <w:sz w:val="24"/>
          <w:szCs w:val="24"/>
        </w:rPr>
        <w:t>t</w:t>
      </w:r>
      <w:r w:rsidR="00A7405B" w:rsidRPr="0039638B">
        <w:rPr>
          <w:rFonts w:ascii="Arial" w:eastAsia="Arial" w:hAnsi="Arial" w:cs="Arial"/>
          <w:bCs/>
          <w:i/>
          <w:sz w:val="24"/>
          <w:szCs w:val="24"/>
        </w:rPr>
        <w:t>yphimurium</w:t>
      </w:r>
      <w:r w:rsidR="00A7405B">
        <w:rPr>
          <w:rFonts w:ascii="Arial" w:eastAsia="Arial" w:hAnsi="Arial" w:cs="Arial"/>
          <w:bCs/>
          <w:i/>
          <w:sz w:val="24"/>
          <w:szCs w:val="24"/>
        </w:rPr>
        <w:t xml:space="preserve"> </w:t>
      </w:r>
      <w:r w:rsidR="00A7405B">
        <w:rPr>
          <w:rFonts w:ascii="Arial" w:eastAsia="Arial" w:hAnsi="Arial" w:cs="Arial"/>
          <w:bCs/>
          <w:sz w:val="24"/>
          <w:szCs w:val="24"/>
        </w:rPr>
        <w:t xml:space="preserve">no induce por si misma la liberación de trampas extracelulares. Sin embargo, al estimular con la p30 de </w:t>
      </w:r>
      <w:r w:rsidR="00A7405B" w:rsidRPr="0039638B">
        <w:rPr>
          <w:rFonts w:ascii="Arial" w:eastAsia="Arial" w:hAnsi="Arial" w:cs="Arial"/>
          <w:bCs/>
          <w:i/>
          <w:sz w:val="24"/>
          <w:szCs w:val="24"/>
        </w:rPr>
        <w:t xml:space="preserve">S. </w:t>
      </w:r>
      <w:r w:rsidR="00A7405B">
        <w:rPr>
          <w:rFonts w:ascii="Arial" w:eastAsia="Arial" w:hAnsi="Arial" w:cs="Arial"/>
          <w:bCs/>
          <w:i/>
          <w:sz w:val="24"/>
          <w:szCs w:val="24"/>
        </w:rPr>
        <w:t>t</w:t>
      </w:r>
      <w:r w:rsidR="00A7405B" w:rsidRPr="0039638B">
        <w:rPr>
          <w:rFonts w:ascii="Arial" w:eastAsia="Arial" w:hAnsi="Arial" w:cs="Arial"/>
          <w:bCs/>
          <w:i/>
          <w:sz w:val="24"/>
          <w:szCs w:val="24"/>
        </w:rPr>
        <w:t>yphimurium</w:t>
      </w:r>
      <w:r w:rsidR="00A7405B">
        <w:rPr>
          <w:rFonts w:ascii="Arial" w:eastAsia="Arial" w:hAnsi="Arial" w:cs="Arial"/>
          <w:bCs/>
          <w:i/>
          <w:sz w:val="24"/>
          <w:szCs w:val="24"/>
        </w:rPr>
        <w:t xml:space="preserve"> </w:t>
      </w:r>
      <w:r w:rsidR="00A7405B" w:rsidRPr="00A7405B">
        <w:rPr>
          <w:rFonts w:ascii="Arial" w:eastAsia="Arial" w:hAnsi="Arial" w:cs="Arial"/>
          <w:bCs/>
          <w:sz w:val="24"/>
          <w:szCs w:val="24"/>
        </w:rPr>
        <w:t>combinada con</w:t>
      </w:r>
      <w:r w:rsidR="00A7405B">
        <w:rPr>
          <w:rFonts w:ascii="Arial" w:eastAsia="Arial" w:hAnsi="Arial" w:cs="Arial"/>
          <w:bCs/>
          <w:sz w:val="24"/>
          <w:szCs w:val="24"/>
        </w:rPr>
        <w:t xml:space="preserve"> </w:t>
      </w:r>
      <w:r w:rsidR="00A7405B" w:rsidRPr="00A7405B">
        <w:rPr>
          <w:rFonts w:ascii="Arial" w:eastAsia="Arial" w:hAnsi="Arial" w:cs="Arial"/>
          <w:bCs/>
          <w:sz w:val="24"/>
          <w:szCs w:val="24"/>
        </w:rPr>
        <w:t>suero de pacientes</w:t>
      </w:r>
      <w:r w:rsidR="00A7405B">
        <w:rPr>
          <w:rFonts w:ascii="Arial" w:eastAsia="Arial" w:hAnsi="Arial" w:cs="Arial"/>
          <w:bCs/>
          <w:sz w:val="24"/>
          <w:szCs w:val="24"/>
        </w:rPr>
        <w:t xml:space="preserve"> con EA</w:t>
      </w:r>
      <w:r w:rsidR="001544A8">
        <w:rPr>
          <w:rFonts w:ascii="Arial" w:eastAsia="Arial" w:hAnsi="Arial" w:cs="Arial"/>
          <w:bCs/>
          <w:sz w:val="24"/>
          <w:szCs w:val="24"/>
        </w:rPr>
        <w:t xml:space="preserve"> o sujetos sanos</w:t>
      </w:r>
      <w:r w:rsidR="001544A8" w:rsidRPr="001544A8">
        <w:rPr>
          <w:rFonts w:ascii="Arial" w:eastAsia="Arial" w:hAnsi="Arial" w:cs="Arial"/>
          <w:bCs/>
          <w:sz w:val="24"/>
          <w:szCs w:val="24"/>
        </w:rPr>
        <w:t xml:space="preserve"> </w:t>
      </w:r>
      <w:r w:rsidR="001544A8">
        <w:rPr>
          <w:rFonts w:ascii="Arial" w:eastAsia="Arial" w:hAnsi="Arial" w:cs="Arial"/>
          <w:bCs/>
          <w:sz w:val="24"/>
          <w:szCs w:val="24"/>
        </w:rPr>
        <w:t>se observó la formación de NETs, siendo mayor la cantidad de NETs formadas al combinar la p30 con suero de pacientes con EA.</w:t>
      </w:r>
      <w:r w:rsidR="00A7405B">
        <w:rPr>
          <w:rFonts w:ascii="Arial" w:eastAsia="Arial" w:hAnsi="Arial" w:cs="Arial"/>
          <w:bCs/>
          <w:sz w:val="24"/>
          <w:szCs w:val="24"/>
        </w:rPr>
        <w:t xml:space="preserve"> Por lo que podemos concluir que el suero de pacientes con EA, contienen anticuerpos que interaccionan con la p30 </w:t>
      </w:r>
      <w:r w:rsidR="00A7405B" w:rsidRPr="0039638B">
        <w:rPr>
          <w:rFonts w:ascii="Arial" w:eastAsia="Arial" w:hAnsi="Arial" w:cs="Arial"/>
          <w:bCs/>
          <w:i/>
          <w:sz w:val="24"/>
          <w:szCs w:val="24"/>
        </w:rPr>
        <w:t xml:space="preserve">S. </w:t>
      </w:r>
      <w:r w:rsidR="00A7405B">
        <w:rPr>
          <w:rFonts w:ascii="Arial" w:eastAsia="Arial" w:hAnsi="Arial" w:cs="Arial"/>
          <w:bCs/>
          <w:i/>
          <w:sz w:val="24"/>
          <w:szCs w:val="24"/>
        </w:rPr>
        <w:t>t</w:t>
      </w:r>
      <w:r w:rsidR="00A7405B" w:rsidRPr="0039638B">
        <w:rPr>
          <w:rFonts w:ascii="Arial" w:eastAsia="Arial" w:hAnsi="Arial" w:cs="Arial"/>
          <w:bCs/>
          <w:i/>
          <w:sz w:val="24"/>
          <w:szCs w:val="24"/>
        </w:rPr>
        <w:t>yphimurium</w:t>
      </w:r>
      <w:r w:rsidR="00A7405B">
        <w:rPr>
          <w:rFonts w:ascii="Arial" w:eastAsia="Arial" w:hAnsi="Arial" w:cs="Arial"/>
          <w:bCs/>
          <w:i/>
          <w:sz w:val="24"/>
          <w:szCs w:val="24"/>
        </w:rPr>
        <w:t xml:space="preserve"> </w:t>
      </w:r>
      <w:r w:rsidR="00A7405B">
        <w:rPr>
          <w:rFonts w:ascii="Arial" w:eastAsia="Arial" w:hAnsi="Arial" w:cs="Arial"/>
          <w:bCs/>
          <w:sz w:val="24"/>
          <w:szCs w:val="24"/>
        </w:rPr>
        <w:t>y que debido a esa interacción se forman inmunocomplejos con la capacidad de formar trampas extracelulares de neutrófilos.</w:t>
      </w:r>
    </w:p>
    <w:p w14:paraId="254D32D6" w14:textId="6C1E9294" w:rsidR="70761786" w:rsidRPr="00ED4B34" w:rsidRDefault="0C02EDF4" w:rsidP="00431A27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ED4B34">
        <w:rPr>
          <w:rFonts w:ascii="Arial" w:eastAsia="Arial" w:hAnsi="Arial" w:cs="Arial"/>
          <w:b/>
          <w:bCs/>
          <w:sz w:val="24"/>
          <w:szCs w:val="24"/>
        </w:rPr>
        <w:lastRenderedPageBreak/>
        <w:t>1</w:t>
      </w:r>
      <w:r w:rsidR="7841036C" w:rsidRPr="00ED4B34">
        <w:rPr>
          <w:rFonts w:ascii="Arial" w:eastAsia="Arial" w:hAnsi="Arial" w:cs="Arial"/>
          <w:b/>
          <w:bCs/>
          <w:sz w:val="24"/>
          <w:szCs w:val="24"/>
        </w:rPr>
        <w:t>.</w:t>
      </w:r>
      <w:r w:rsidR="009A27B8" w:rsidRPr="00ED4B34">
        <w:rPr>
          <w:rFonts w:ascii="Arial" w:eastAsia="Arial" w:hAnsi="Arial" w:cs="Arial"/>
          <w:b/>
          <w:bCs/>
          <w:sz w:val="24"/>
          <w:szCs w:val="24"/>
        </w:rPr>
        <w:t>INTRODUCCI</w:t>
      </w:r>
      <w:r w:rsidR="3EDC46D1" w:rsidRPr="00ED4B34">
        <w:rPr>
          <w:rFonts w:ascii="Arial" w:eastAsia="Arial" w:hAnsi="Arial" w:cs="Arial"/>
          <w:b/>
          <w:bCs/>
          <w:sz w:val="24"/>
          <w:szCs w:val="24"/>
        </w:rPr>
        <w:t>Ó</w:t>
      </w:r>
      <w:r w:rsidR="009A27B8" w:rsidRPr="00ED4B34">
        <w:rPr>
          <w:rFonts w:ascii="Arial" w:eastAsia="Arial" w:hAnsi="Arial" w:cs="Arial"/>
          <w:b/>
          <w:bCs/>
          <w:sz w:val="24"/>
          <w:szCs w:val="24"/>
        </w:rPr>
        <w:t xml:space="preserve">N </w:t>
      </w:r>
    </w:p>
    <w:p w14:paraId="1321D155" w14:textId="7947A937" w:rsidR="009406CB" w:rsidRDefault="009A27B8" w:rsidP="009406CB">
      <w:pPr>
        <w:spacing w:before="100" w:beforeAutospacing="1" w:after="100" w:afterAutospacing="1" w:line="360" w:lineRule="auto"/>
        <w:ind w:firstLine="397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D4B34">
        <w:rPr>
          <w:rFonts w:ascii="Arial" w:eastAsia="Arial" w:hAnsi="Arial" w:cs="Arial"/>
          <w:b/>
          <w:bCs/>
          <w:sz w:val="24"/>
          <w:szCs w:val="24"/>
        </w:rPr>
        <w:t xml:space="preserve">1.1 </w:t>
      </w:r>
      <w:r w:rsidR="009406CB">
        <w:rPr>
          <w:rFonts w:ascii="Arial" w:eastAsia="Arial" w:hAnsi="Arial" w:cs="Arial"/>
          <w:b/>
          <w:bCs/>
          <w:sz w:val="24"/>
          <w:szCs w:val="24"/>
        </w:rPr>
        <w:t>E</w:t>
      </w:r>
      <w:r w:rsidR="009406CB" w:rsidRPr="00ED4B34">
        <w:rPr>
          <w:rFonts w:ascii="Arial" w:eastAsia="Arial" w:hAnsi="Arial" w:cs="Arial"/>
          <w:b/>
          <w:bCs/>
          <w:sz w:val="24"/>
          <w:szCs w:val="24"/>
        </w:rPr>
        <w:t>spondilitis anquilosante</w:t>
      </w:r>
    </w:p>
    <w:p w14:paraId="51DBCE0E" w14:textId="77777777" w:rsidR="009406CB" w:rsidRPr="009406CB" w:rsidRDefault="00384C85" w:rsidP="009406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6CB">
        <w:rPr>
          <w:rFonts w:ascii="Arial" w:hAnsi="Arial" w:cs="Arial"/>
          <w:sz w:val="24"/>
          <w:szCs w:val="24"/>
        </w:rPr>
        <w:t>La espondilitis anquilosante (EA)</w:t>
      </w:r>
      <w:r w:rsidR="00E41D0D" w:rsidRPr="009406CB">
        <w:rPr>
          <w:rFonts w:ascii="Arial" w:hAnsi="Arial" w:cs="Arial"/>
          <w:sz w:val="24"/>
          <w:szCs w:val="24"/>
        </w:rPr>
        <w:t xml:space="preserve"> es una </w:t>
      </w:r>
      <w:r w:rsidRPr="009406CB">
        <w:rPr>
          <w:rFonts w:ascii="Arial" w:hAnsi="Arial" w:cs="Arial"/>
          <w:sz w:val="24"/>
          <w:szCs w:val="24"/>
        </w:rPr>
        <w:t>enfermedad inflamatoria crónica</w:t>
      </w:r>
      <w:r w:rsidR="006B76AC" w:rsidRPr="009406CB">
        <w:rPr>
          <w:rFonts w:ascii="Arial" w:hAnsi="Arial" w:cs="Arial"/>
          <w:sz w:val="24"/>
          <w:szCs w:val="24"/>
        </w:rPr>
        <w:t xml:space="preserve"> </w:t>
      </w:r>
      <w:r w:rsidR="009A27B8" w:rsidRPr="009406CB">
        <w:rPr>
          <w:rFonts w:ascii="Arial" w:hAnsi="Arial" w:cs="Arial"/>
          <w:sz w:val="24"/>
          <w:szCs w:val="24"/>
        </w:rPr>
        <w:t xml:space="preserve">que afecta principalmente </w:t>
      </w:r>
      <w:r w:rsidR="006B76AC" w:rsidRPr="009406CB">
        <w:rPr>
          <w:rFonts w:ascii="Arial" w:hAnsi="Arial" w:cs="Arial"/>
          <w:sz w:val="24"/>
          <w:szCs w:val="24"/>
        </w:rPr>
        <w:t>las articulaciones de la columna vertebral</w:t>
      </w:r>
      <w:r w:rsidR="00C01A87" w:rsidRPr="009406CB">
        <w:rPr>
          <w:rFonts w:ascii="Arial" w:hAnsi="Arial" w:cs="Arial"/>
          <w:sz w:val="24"/>
          <w:szCs w:val="24"/>
        </w:rPr>
        <w:t xml:space="preserve">, esta inflamación </w:t>
      </w:r>
      <w:r w:rsidR="006B76AC" w:rsidRPr="009406CB">
        <w:rPr>
          <w:rFonts w:ascii="Arial" w:hAnsi="Arial" w:cs="Arial"/>
          <w:sz w:val="24"/>
          <w:szCs w:val="24"/>
        </w:rPr>
        <w:t xml:space="preserve">ocasiona fusión ascendente y progresiva de los cuerpos vertebrales. </w:t>
      </w:r>
    </w:p>
    <w:p w14:paraId="76CD5805" w14:textId="77777777" w:rsidR="009406CB" w:rsidRPr="009406CB" w:rsidRDefault="00C01A87" w:rsidP="009406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6CB">
        <w:rPr>
          <w:rFonts w:ascii="Arial" w:hAnsi="Arial" w:cs="Arial"/>
          <w:sz w:val="24"/>
          <w:szCs w:val="24"/>
        </w:rPr>
        <w:t>La EA a</w:t>
      </w:r>
      <w:r w:rsidR="00221EF9" w:rsidRPr="009406CB">
        <w:rPr>
          <w:rFonts w:ascii="Arial" w:hAnsi="Arial" w:cs="Arial"/>
          <w:sz w:val="24"/>
          <w:szCs w:val="24"/>
        </w:rPr>
        <w:t>fecta</w:t>
      </w:r>
      <w:r w:rsidR="0E62561D" w:rsidRPr="009406CB">
        <w:rPr>
          <w:rFonts w:ascii="Arial" w:hAnsi="Arial" w:cs="Arial"/>
          <w:sz w:val="24"/>
          <w:szCs w:val="24"/>
        </w:rPr>
        <w:t xml:space="preserve"> con mayor frecuencia a los varones (en una relación de 3:1 respecto de las mujeres) y </w:t>
      </w:r>
      <w:r w:rsidR="00221EF9" w:rsidRPr="009406CB">
        <w:rPr>
          <w:rFonts w:ascii="Arial" w:hAnsi="Arial" w:cs="Arial"/>
          <w:sz w:val="24"/>
          <w:szCs w:val="24"/>
        </w:rPr>
        <w:t>se presenta principalmente</w:t>
      </w:r>
      <w:r w:rsidR="008A0B42" w:rsidRPr="009406CB">
        <w:rPr>
          <w:rFonts w:ascii="Arial" w:hAnsi="Arial" w:cs="Arial"/>
          <w:sz w:val="24"/>
          <w:szCs w:val="24"/>
        </w:rPr>
        <w:t xml:space="preserve"> entre los 20-30 años de vida,</w:t>
      </w:r>
      <w:r w:rsidR="00221EF9" w:rsidRPr="009406CB">
        <w:rPr>
          <w:rFonts w:ascii="Arial" w:hAnsi="Arial" w:cs="Arial"/>
          <w:sz w:val="24"/>
          <w:szCs w:val="24"/>
        </w:rPr>
        <w:t xml:space="preserve"> tiene una</w:t>
      </w:r>
      <w:r w:rsidR="0E62561D" w:rsidRPr="009406CB">
        <w:rPr>
          <w:rFonts w:ascii="Arial" w:hAnsi="Arial" w:cs="Arial"/>
          <w:sz w:val="24"/>
          <w:szCs w:val="24"/>
        </w:rPr>
        <w:t xml:space="preserve"> prevalencia </w:t>
      </w:r>
      <w:r w:rsidR="00221EF9" w:rsidRPr="009406CB">
        <w:rPr>
          <w:rFonts w:ascii="Arial" w:hAnsi="Arial" w:cs="Arial"/>
          <w:sz w:val="24"/>
          <w:szCs w:val="24"/>
        </w:rPr>
        <w:t>estimada de</w:t>
      </w:r>
      <w:r w:rsidR="6D2EF6C2" w:rsidRPr="009406CB">
        <w:rPr>
          <w:rFonts w:ascii="Arial" w:hAnsi="Arial" w:cs="Arial"/>
          <w:sz w:val="24"/>
          <w:szCs w:val="24"/>
        </w:rPr>
        <w:t xml:space="preserve"> 0.1 % </w:t>
      </w:r>
      <w:r w:rsidR="00221EF9" w:rsidRPr="009406CB">
        <w:rPr>
          <w:rFonts w:ascii="Arial" w:hAnsi="Arial" w:cs="Arial"/>
          <w:sz w:val="24"/>
          <w:szCs w:val="24"/>
        </w:rPr>
        <w:t>en</w:t>
      </w:r>
      <w:r w:rsidR="6D2EF6C2" w:rsidRPr="009406CB">
        <w:rPr>
          <w:rFonts w:ascii="Arial" w:hAnsi="Arial" w:cs="Arial"/>
          <w:sz w:val="24"/>
          <w:szCs w:val="24"/>
        </w:rPr>
        <w:t xml:space="preserve"> p</w:t>
      </w:r>
      <w:r w:rsidR="67723B6F" w:rsidRPr="009406CB">
        <w:rPr>
          <w:rFonts w:ascii="Arial" w:hAnsi="Arial" w:cs="Arial"/>
          <w:sz w:val="24"/>
          <w:szCs w:val="24"/>
        </w:rPr>
        <w:t>oblación</w:t>
      </w:r>
      <w:r w:rsidR="00221EF9" w:rsidRPr="009406CB">
        <w:rPr>
          <w:rFonts w:ascii="Arial" w:hAnsi="Arial" w:cs="Arial"/>
          <w:sz w:val="24"/>
          <w:szCs w:val="24"/>
        </w:rPr>
        <w:t xml:space="preserve"> mundial</w:t>
      </w:r>
      <w:r w:rsidR="00ED4B34" w:rsidRPr="009406CB">
        <w:rPr>
          <w:rFonts w:ascii="Arial" w:hAnsi="Arial" w:cs="Arial"/>
          <w:sz w:val="24"/>
          <w:szCs w:val="24"/>
        </w:rPr>
        <w:t xml:space="preserve">, </w:t>
      </w:r>
      <w:r w:rsidR="67723B6F" w:rsidRPr="009406CB">
        <w:rPr>
          <w:rFonts w:ascii="Arial" w:hAnsi="Arial" w:cs="Arial"/>
          <w:sz w:val="24"/>
          <w:szCs w:val="24"/>
        </w:rPr>
        <w:t xml:space="preserve">pero </w:t>
      </w:r>
      <w:r w:rsidR="0E62561D" w:rsidRPr="009406CB">
        <w:rPr>
          <w:rFonts w:ascii="Arial" w:hAnsi="Arial" w:cs="Arial"/>
          <w:sz w:val="24"/>
          <w:szCs w:val="24"/>
        </w:rPr>
        <w:t>varía según zona geográfica, etnia, factores genéticos y ambientales</w:t>
      </w:r>
      <w:r w:rsidR="009406CB" w:rsidRPr="009406CB">
        <w:rPr>
          <w:rFonts w:ascii="Arial" w:hAnsi="Arial" w:cs="Arial"/>
          <w:sz w:val="24"/>
          <w:szCs w:val="24"/>
        </w:rPr>
        <w:t xml:space="preserve"> </w:t>
      </w:r>
      <w:r w:rsidR="49EA4ED6" w:rsidRPr="009406CB">
        <w:rPr>
          <w:rFonts w:ascii="Arial" w:hAnsi="Arial" w:cs="Arial"/>
          <w:sz w:val="24"/>
          <w:szCs w:val="24"/>
        </w:rPr>
        <w:t>(</w:t>
      </w:r>
      <w:r w:rsidR="0CFF58AA" w:rsidRPr="009406CB">
        <w:rPr>
          <w:rFonts w:ascii="Arial" w:hAnsi="Arial" w:cs="Arial"/>
          <w:sz w:val="24"/>
          <w:szCs w:val="24"/>
        </w:rPr>
        <w:t>1</w:t>
      </w:r>
      <w:r w:rsidR="008A0B42" w:rsidRPr="009406CB">
        <w:rPr>
          <w:rFonts w:ascii="Arial" w:hAnsi="Arial" w:cs="Arial"/>
          <w:sz w:val="24"/>
          <w:szCs w:val="24"/>
        </w:rPr>
        <w:t>,2</w:t>
      </w:r>
      <w:r w:rsidR="0CFF58AA" w:rsidRPr="009406CB">
        <w:rPr>
          <w:rFonts w:ascii="Arial" w:hAnsi="Arial" w:cs="Arial"/>
          <w:sz w:val="24"/>
          <w:szCs w:val="24"/>
        </w:rPr>
        <w:t>)</w:t>
      </w:r>
      <w:r w:rsidR="009406CB" w:rsidRPr="009406CB">
        <w:rPr>
          <w:rFonts w:ascii="Arial" w:hAnsi="Arial" w:cs="Arial"/>
          <w:sz w:val="24"/>
          <w:szCs w:val="24"/>
        </w:rPr>
        <w:t>.</w:t>
      </w:r>
    </w:p>
    <w:p w14:paraId="36E1DF8A" w14:textId="77777777" w:rsidR="009406CB" w:rsidRPr="009406CB" w:rsidRDefault="288FFC72" w:rsidP="009406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6CB">
        <w:rPr>
          <w:rFonts w:ascii="Arial" w:hAnsi="Arial" w:cs="Arial"/>
          <w:sz w:val="24"/>
          <w:szCs w:val="24"/>
        </w:rPr>
        <w:t xml:space="preserve">La </w:t>
      </w:r>
      <w:r w:rsidR="50C7ADF8" w:rsidRPr="009406CB">
        <w:rPr>
          <w:rFonts w:ascii="Arial" w:hAnsi="Arial" w:cs="Arial"/>
          <w:sz w:val="24"/>
          <w:szCs w:val="24"/>
        </w:rPr>
        <w:t xml:space="preserve">EA es </w:t>
      </w:r>
      <w:r w:rsidR="006B76AC" w:rsidRPr="009406CB">
        <w:rPr>
          <w:rFonts w:ascii="Arial" w:hAnsi="Arial" w:cs="Arial"/>
          <w:sz w:val="24"/>
          <w:szCs w:val="24"/>
        </w:rPr>
        <w:t xml:space="preserve">de </w:t>
      </w:r>
      <w:r w:rsidR="50C7ADF8" w:rsidRPr="009406CB">
        <w:rPr>
          <w:rFonts w:ascii="Arial" w:hAnsi="Arial" w:cs="Arial"/>
          <w:sz w:val="24"/>
          <w:szCs w:val="24"/>
        </w:rPr>
        <w:t>orige</w:t>
      </w:r>
      <w:r w:rsidR="008B285D" w:rsidRPr="009406CB">
        <w:rPr>
          <w:rFonts w:ascii="Arial" w:hAnsi="Arial" w:cs="Arial"/>
          <w:sz w:val="24"/>
          <w:szCs w:val="24"/>
        </w:rPr>
        <w:t>n autoinmune, y aunque se desconoce que desencadena la autoinmunidad se</w:t>
      </w:r>
      <w:r w:rsidR="00077F16" w:rsidRPr="009406CB">
        <w:rPr>
          <w:rFonts w:ascii="Arial" w:hAnsi="Arial" w:cs="Arial"/>
          <w:sz w:val="24"/>
          <w:szCs w:val="24"/>
        </w:rPr>
        <w:t xml:space="preserve"> sabe que existen diferentes factores genéticos y ambientales que están asociados con el desarrollo de la enfermedad.</w:t>
      </w:r>
      <w:r w:rsidR="00402131" w:rsidRPr="009406CB">
        <w:rPr>
          <w:rFonts w:ascii="Arial" w:hAnsi="Arial" w:cs="Arial"/>
          <w:sz w:val="24"/>
          <w:szCs w:val="24"/>
        </w:rPr>
        <w:t xml:space="preserve"> </w:t>
      </w:r>
    </w:p>
    <w:p w14:paraId="6C825BED" w14:textId="12FC9663" w:rsidR="009406CB" w:rsidRPr="009406CB" w:rsidRDefault="00D077BF" w:rsidP="009406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1C1C1C"/>
          <w:sz w:val="24"/>
          <w:szCs w:val="24"/>
          <w:lang w:val="es-ES_tradnl"/>
        </w:rPr>
      </w:pP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>La presencia del antígeno leucocitar</w:t>
      </w:r>
      <w:r w:rsidR="00914365" w:rsidRPr="009406CB">
        <w:rPr>
          <w:rFonts w:ascii="Arial" w:hAnsi="Arial" w:cs="Arial"/>
          <w:color w:val="1C1C1C"/>
          <w:sz w:val="24"/>
          <w:szCs w:val="24"/>
          <w:lang w:val="es-ES_tradnl"/>
        </w:rPr>
        <w:t>io humano (HLA</w:t>
      </w:r>
      <w:r w:rsidR="006438AD">
        <w:rPr>
          <w:rFonts w:ascii="Arial" w:hAnsi="Arial" w:cs="Arial"/>
          <w:color w:val="1C1C1C"/>
          <w:sz w:val="24"/>
          <w:szCs w:val="24"/>
          <w:lang w:val="es-ES_tradnl"/>
        </w:rPr>
        <w:t>)</w:t>
      </w:r>
      <w:r w:rsidR="00914365" w:rsidRPr="009406CB">
        <w:rPr>
          <w:rFonts w:ascii="Arial" w:hAnsi="Arial" w:cs="Arial"/>
          <w:color w:val="1C1C1C"/>
          <w:sz w:val="24"/>
          <w:szCs w:val="24"/>
          <w:lang w:val="es-ES_tradnl"/>
        </w:rPr>
        <w:t>-B27 es uno de lo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s factores genéticos </w:t>
      </w:r>
      <w:r w:rsidR="006438AD">
        <w:rPr>
          <w:rFonts w:ascii="Arial" w:hAnsi="Arial" w:cs="Arial"/>
          <w:color w:val="1C1C1C"/>
          <w:sz w:val="24"/>
          <w:szCs w:val="24"/>
          <w:lang w:val="es-ES_tradnl"/>
        </w:rPr>
        <w:t xml:space="preserve">más 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asociados con la EA, </w:t>
      </w:r>
      <w:r w:rsidR="006438AD">
        <w:rPr>
          <w:rFonts w:ascii="Arial" w:hAnsi="Arial" w:cs="Arial"/>
          <w:color w:val="1C1C1C"/>
          <w:sz w:val="24"/>
          <w:szCs w:val="24"/>
          <w:lang w:val="es-ES_tradnl"/>
        </w:rPr>
        <w:t xml:space="preserve">ya 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que aproximadamente el 90% de personas con EA </w:t>
      </w:r>
      <w:r w:rsidR="005873CF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son 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>HLA-B*27</w:t>
      </w:r>
      <w:r w:rsidR="005873CF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 positivos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, sin </w:t>
      </w:r>
      <w:r w:rsidR="00EF4F0B" w:rsidRPr="009406CB">
        <w:rPr>
          <w:rFonts w:ascii="Arial" w:hAnsi="Arial" w:cs="Arial"/>
          <w:color w:val="1C1C1C"/>
          <w:sz w:val="24"/>
          <w:szCs w:val="24"/>
          <w:lang w:val="es-ES_tradnl"/>
        </w:rPr>
        <w:t>embargo,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 sólo </w:t>
      </w:r>
      <w:r w:rsidR="00513628" w:rsidRPr="009406CB">
        <w:rPr>
          <w:rFonts w:ascii="Arial" w:hAnsi="Arial" w:cs="Arial"/>
          <w:color w:val="1C1C1C"/>
          <w:sz w:val="24"/>
          <w:szCs w:val="24"/>
          <w:lang w:val="es-ES_tradnl"/>
        </w:rPr>
        <w:t>el 5%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 de los individuos con este antígeno desarrolla la EA</w:t>
      </w:r>
      <w:r w:rsidR="008A0B42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. </w:t>
      </w:r>
      <w:r w:rsidR="00513628" w:rsidRPr="009406CB">
        <w:rPr>
          <w:rFonts w:ascii="Arial" w:hAnsi="Arial" w:cs="Arial"/>
          <w:color w:val="1C1C1C"/>
          <w:sz w:val="24"/>
          <w:szCs w:val="24"/>
          <w:lang w:val="es-ES_tradnl"/>
        </w:rPr>
        <w:t>(3</w:t>
      </w:r>
      <w:r w:rsidR="008A0B42" w:rsidRPr="009406CB">
        <w:rPr>
          <w:rFonts w:ascii="Arial" w:hAnsi="Arial" w:cs="Arial"/>
          <w:color w:val="1C1C1C"/>
          <w:sz w:val="24"/>
          <w:szCs w:val="24"/>
          <w:lang w:val="es-ES_tradnl"/>
        </w:rPr>
        <w:t>,</w:t>
      </w:r>
      <w:r w:rsidR="00513628" w:rsidRPr="009406CB">
        <w:rPr>
          <w:rFonts w:ascii="Arial" w:hAnsi="Arial" w:cs="Arial"/>
          <w:color w:val="1C1C1C"/>
          <w:sz w:val="24"/>
          <w:szCs w:val="24"/>
          <w:lang w:val="es-ES_tradnl"/>
        </w:rPr>
        <w:t>4)</w:t>
      </w:r>
    </w:p>
    <w:p w14:paraId="57957441" w14:textId="283719F0" w:rsidR="009406CB" w:rsidRPr="009406CB" w:rsidRDefault="001243DA" w:rsidP="009406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>Existen o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tros factores genéticos </w:t>
      </w:r>
      <w:r w:rsidR="006438AD">
        <w:rPr>
          <w:rFonts w:ascii="Arial" w:hAnsi="Arial" w:cs="Arial"/>
          <w:color w:val="1C1C1C"/>
          <w:sz w:val="24"/>
          <w:szCs w:val="24"/>
          <w:lang w:val="es-ES_tradnl"/>
        </w:rPr>
        <w:t xml:space="preserve">que se han 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>asociados con EA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>, como</w:t>
      </w:r>
      <w:r w:rsidR="006438AD">
        <w:rPr>
          <w:rFonts w:ascii="Arial" w:hAnsi="Arial" w:cs="Arial"/>
          <w:color w:val="1C1C1C"/>
          <w:sz w:val="24"/>
          <w:szCs w:val="24"/>
          <w:lang w:val="es-ES_tradnl"/>
        </w:rPr>
        <w:t xml:space="preserve"> los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 polimorfismos en el gen </w:t>
      </w:r>
      <w:r w:rsidR="006438AD">
        <w:rPr>
          <w:rFonts w:ascii="Arial" w:hAnsi="Arial" w:cs="Arial"/>
          <w:color w:val="1C1C1C"/>
          <w:sz w:val="24"/>
          <w:szCs w:val="24"/>
          <w:lang w:val="es-ES_tradnl"/>
        </w:rPr>
        <w:t>que codifica para los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 receptores 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para Fc de </w:t>
      </w:r>
      <w:r w:rsidR="00175D39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IgG 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 (Fc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sym w:font="Symbol" w:char="F067"/>
      </w:r>
      <w:r w:rsidR="00EE5890">
        <w:rPr>
          <w:rFonts w:ascii="Arial" w:hAnsi="Arial" w:cs="Arial"/>
          <w:color w:val="1C1C1C"/>
          <w:sz w:val="24"/>
          <w:szCs w:val="24"/>
          <w:lang w:val="es-ES_tradnl"/>
        </w:rPr>
        <w:t>R)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>. La unión de estos receptores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 con sus ligandos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 desencadena una variedad de señales 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>intracelulares que inducen la activación de mecanismos microbicidas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, como fagocitosis, </w:t>
      </w:r>
      <w:r w:rsidR="008B3B74">
        <w:rPr>
          <w:rFonts w:ascii="Arial" w:hAnsi="Arial" w:cs="Arial"/>
          <w:color w:val="1C1C1C"/>
          <w:sz w:val="24"/>
          <w:szCs w:val="24"/>
          <w:lang w:val="es-ES_tradnl"/>
        </w:rPr>
        <w:t>ADCC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, 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>síntesis y secreción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 de citocinas, de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>s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>granulación y activación de neutrófilos</w:t>
      </w:r>
      <w:r w:rsidR="00EE5890">
        <w:rPr>
          <w:rFonts w:ascii="Arial" w:hAnsi="Arial" w:cs="Arial"/>
          <w:color w:val="1C1C1C"/>
          <w:sz w:val="24"/>
          <w:szCs w:val="24"/>
          <w:lang w:val="es-ES_tradnl"/>
        </w:rPr>
        <w:t>,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 </w:t>
      </w:r>
      <w:r w:rsidR="00EE5890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proporcionando un vínculo crucial entre la respuesta inmune humoral y celular </w:t>
      </w:r>
      <w:r w:rsidR="00ED4B34" w:rsidRPr="009406CB">
        <w:rPr>
          <w:rFonts w:ascii="Arial" w:hAnsi="Arial" w:cs="Arial"/>
          <w:color w:val="1C1C1C"/>
          <w:sz w:val="24"/>
          <w:szCs w:val="24"/>
          <w:lang w:val="es-ES_tradnl"/>
        </w:rPr>
        <w:t xml:space="preserve">(5). 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t>Se ha descrito que algunos</w:t>
      </w:r>
      <w:r w:rsidR="00ED4B34" w:rsidRPr="009406CB">
        <w:rPr>
          <w:rFonts w:ascii="Arial" w:hAnsi="Arial" w:cs="Arial"/>
          <w:sz w:val="24"/>
          <w:szCs w:val="24"/>
        </w:rPr>
        <w:t xml:space="preserve"> polimorfismos genéticos en</w:t>
      </w:r>
      <w:r w:rsidRPr="009406CB">
        <w:rPr>
          <w:rFonts w:ascii="Arial" w:hAnsi="Arial" w:cs="Arial"/>
          <w:sz w:val="24"/>
          <w:szCs w:val="24"/>
        </w:rPr>
        <w:t xml:space="preserve"> el gen que codifica para el</w:t>
      </w:r>
      <w:r w:rsidR="00ED4B34" w:rsidRPr="009406CB">
        <w:rPr>
          <w:rFonts w:ascii="Arial" w:hAnsi="Arial" w:cs="Arial"/>
          <w:sz w:val="24"/>
          <w:szCs w:val="24"/>
        </w:rPr>
        <w:t xml:space="preserve"> Fc</w:t>
      </w:r>
      <w:r w:rsidRPr="009406CB">
        <w:rPr>
          <w:rFonts w:ascii="Arial" w:hAnsi="Arial" w:cs="Arial"/>
          <w:color w:val="1C1C1C"/>
          <w:sz w:val="24"/>
          <w:szCs w:val="24"/>
          <w:lang w:val="es-ES_tradnl"/>
        </w:rPr>
        <w:sym w:font="Symbol" w:char="F067"/>
      </w:r>
      <w:r w:rsidR="00ED4B34" w:rsidRPr="009406CB">
        <w:rPr>
          <w:rFonts w:ascii="Arial" w:hAnsi="Arial" w:cs="Arial"/>
          <w:sz w:val="24"/>
          <w:szCs w:val="24"/>
        </w:rPr>
        <w:t xml:space="preserve">R afectan la afinidad del receptor por la IgG y por consecuente, la intensidad de las funciones resultantes de dicha interacción, lo que favorece un incremento en la respuesta inflamatoria (6). </w:t>
      </w:r>
    </w:p>
    <w:p w14:paraId="118667A2" w14:textId="054D525C" w:rsidR="00ED4B34" w:rsidRPr="008B3B74" w:rsidRDefault="009942A9" w:rsidP="009406CB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6CB">
        <w:rPr>
          <w:rFonts w:ascii="Arial" w:hAnsi="Arial" w:cs="Arial"/>
          <w:sz w:val="24"/>
          <w:szCs w:val="24"/>
        </w:rPr>
        <w:t xml:space="preserve">Además de los factores genéticos, es posible que los factores ambientales influyan en el desarrollo de la EA. Dentro de estos factores se incluye la infección por algunas enterobacterias como, </w:t>
      </w:r>
      <w:r w:rsidRPr="009406CB">
        <w:rPr>
          <w:rFonts w:ascii="Arial" w:hAnsi="Arial" w:cs="Arial"/>
          <w:i/>
          <w:sz w:val="24"/>
          <w:szCs w:val="24"/>
        </w:rPr>
        <w:t xml:space="preserve">Shigella, Campylobacter, Klebsiella pneumoniae y Salmonella </w:t>
      </w:r>
      <w:r w:rsidRPr="009406CB">
        <w:rPr>
          <w:rFonts w:ascii="Arial" w:hAnsi="Arial" w:cs="Arial"/>
          <w:i/>
          <w:iCs/>
          <w:sz w:val="24"/>
          <w:szCs w:val="24"/>
        </w:rPr>
        <w:t>typhimurium</w:t>
      </w:r>
      <w:r w:rsidR="00727641" w:rsidRPr="009406CB">
        <w:rPr>
          <w:rFonts w:ascii="Arial" w:hAnsi="Arial" w:cs="Arial"/>
          <w:sz w:val="24"/>
          <w:szCs w:val="24"/>
        </w:rPr>
        <w:t xml:space="preserve"> (1</w:t>
      </w:r>
      <w:r w:rsidR="00ED4B34" w:rsidRPr="009406CB">
        <w:rPr>
          <w:rFonts w:ascii="Arial" w:hAnsi="Arial" w:cs="Arial"/>
          <w:sz w:val="24"/>
          <w:szCs w:val="24"/>
        </w:rPr>
        <w:t>,7</w:t>
      </w:r>
      <w:r w:rsidR="008B3B74">
        <w:rPr>
          <w:rFonts w:ascii="Arial" w:hAnsi="Arial" w:cs="Arial"/>
          <w:sz w:val="24"/>
          <w:szCs w:val="24"/>
        </w:rPr>
        <w:t xml:space="preserve">, </w:t>
      </w:r>
      <w:r w:rsidR="00ED4B34" w:rsidRPr="009406CB">
        <w:rPr>
          <w:rFonts w:ascii="Arial" w:hAnsi="Arial" w:cs="Arial"/>
          <w:sz w:val="24"/>
          <w:szCs w:val="24"/>
        </w:rPr>
        <w:t>8</w:t>
      </w:r>
      <w:r w:rsidR="000D2A0F" w:rsidRPr="009406CB">
        <w:rPr>
          <w:rFonts w:ascii="Arial" w:hAnsi="Arial" w:cs="Arial"/>
          <w:sz w:val="24"/>
          <w:szCs w:val="24"/>
        </w:rPr>
        <w:t>)</w:t>
      </w:r>
      <w:r w:rsidR="00431A27" w:rsidRPr="009406CB">
        <w:rPr>
          <w:rFonts w:ascii="Arial" w:hAnsi="Arial" w:cs="Arial"/>
          <w:sz w:val="24"/>
          <w:szCs w:val="24"/>
        </w:rPr>
        <w:t xml:space="preserve">. A pesar de los conocimientos en la fisiopatología del desarrollo de la EA y la participación de los factores genéticos y ambientales. </w:t>
      </w:r>
      <w:r w:rsidR="00431A27" w:rsidRPr="009406CB">
        <w:rPr>
          <w:rFonts w:ascii="Arial" w:hAnsi="Arial" w:cs="Arial"/>
          <w:sz w:val="24"/>
          <w:szCs w:val="24"/>
        </w:rPr>
        <w:lastRenderedPageBreak/>
        <w:t xml:space="preserve">En la actualidad, es poco lo que se conoce en cuanto a la participación de la respuesta inmune innata y adaptativa en el desarrollo de la espondilitis anquilosante. </w:t>
      </w:r>
    </w:p>
    <w:p w14:paraId="211FA779" w14:textId="0DC3D5A6" w:rsidR="00B11E5E" w:rsidRPr="00ED4B34" w:rsidRDefault="51B3A20D" w:rsidP="009406CB">
      <w:pPr>
        <w:pStyle w:val="Default"/>
        <w:spacing w:before="100" w:beforeAutospacing="1" w:after="100" w:afterAutospacing="1" w:line="360" w:lineRule="auto"/>
        <w:ind w:firstLine="708"/>
        <w:contextualSpacing/>
        <w:jc w:val="both"/>
        <w:rPr>
          <w:b/>
          <w:bCs/>
        </w:rPr>
      </w:pPr>
      <w:r w:rsidRPr="00ED4B34">
        <w:rPr>
          <w:b/>
          <w:bCs/>
        </w:rPr>
        <w:t xml:space="preserve">2. </w:t>
      </w:r>
      <w:r w:rsidR="7AD37C68" w:rsidRPr="00ED4B34">
        <w:rPr>
          <w:b/>
          <w:bCs/>
        </w:rPr>
        <w:t>ANTECEDENTES</w:t>
      </w:r>
    </w:p>
    <w:p w14:paraId="4FCCB802" w14:textId="5F57B224" w:rsidR="0DABC4CC" w:rsidRPr="00ED4B34" w:rsidRDefault="10521F04" w:rsidP="00454744">
      <w:pPr>
        <w:pStyle w:val="Default"/>
        <w:spacing w:before="100" w:beforeAutospacing="1" w:after="100" w:afterAutospacing="1" w:line="360" w:lineRule="auto"/>
        <w:ind w:firstLine="426"/>
        <w:contextualSpacing/>
        <w:jc w:val="both"/>
        <w:rPr>
          <w:b/>
          <w:bCs/>
        </w:rPr>
      </w:pPr>
      <w:r w:rsidRPr="00ED4B34">
        <w:rPr>
          <w:b/>
          <w:bCs/>
        </w:rPr>
        <w:t>2.1</w:t>
      </w:r>
      <w:r w:rsidR="4BCA9857" w:rsidRPr="00ED4B34">
        <w:rPr>
          <w:b/>
          <w:bCs/>
        </w:rPr>
        <w:t xml:space="preserve"> </w:t>
      </w:r>
      <w:r w:rsidR="00175D39" w:rsidRPr="00175D39">
        <w:rPr>
          <w:b/>
          <w:i/>
          <w:iCs/>
        </w:rPr>
        <w:t>Salmonella typhimurium</w:t>
      </w:r>
      <w:r w:rsidR="00914365" w:rsidRPr="00ED4B34">
        <w:rPr>
          <w:b/>
          <w:bCs/>
        </w:rPr>
        <w:t xml:space="preserve"> </w:t>
      </w:r>
      <w:r w:rsidR="00175D39">
        <w:rPr>
          <w:b/>
          <w:bCs/>
        </w:rPr>
        <w:t>y</w:t>
      </w:r>
      <w:r w:rsidR="00914365" w:rsidRPr="00ED4B34">
        <w:rPr>
          <w:b/>
          <w:bCs/>
        </w:rPr>
        <w:t xml:space="preserve"> </w:t>
      </w:r>
      <w:r w:rsidR="00175D39">
        <w:rPr>
          <w:b/>
          <w:bCs/>
        </w:rPr>
        <w:t>espondilitis anquilosante</w:t>
      </w:r>
    </w:p>
    <w:p w14:paraId="4EFC6F6F" w14:textId="4F5D821B" w:rsidR="009A27B8" w:rsidRPr="00ED4B34" w:rsidRDefault="00175D39" w:rsidP="00431A27">
      <w:pPr>
        <w:pStyle w:val="Default"/>
        <w:spacing w:before="100" w:beforeAutospacing="1" w:after="100" w:afterAutospacing="1" w:line="360" w:lineRule="auto"/>
        <w:contextualSpacing/>
        <w:jc w:val="both"/>
      </w:pPr>
      <w:r>
        <w:t xml:space="preserve">Como se mencionó anteriormente, las infecciones con </w:t>
      </w:r>
      <w:r w:rsidR="00573CAD" w:rsidRPr="00ED4B34">
        <w:t xml:space="preserve">agentes bacterianos </w:t>
      </w:r>
      <w:r>
        <w:t>representan</w:t>
      </w:r>
      <w:r w:rsidR="00573CAD" w:rsidRPr="00ED4B34">
        <w:t xml:space="preserve"> un </w:t>
      </w:r>
      <w:r>
        <w:t>factor para el desarrollo de EA. En este sentido</w:t>
      </w:r>
      <w:r w:rsidR="00573CAD" w:rsidRPr="00ED4B34">
        <w:t xml:space="preserve"> se ha reportado que existe una asociación </w:t>
      </w:r>
      <w:r w:rsidR="00A46793" w:rsidRPr="00ED4B34">
        <w:t>entre una</w:t>
      </w:r>
      <w:r w:rsidR="00573CAD" w:rsidRPr="00ED4B34">
        <w:t xml:space="preserve"> proteína de 30</w:t>
      </w:r>
      <w:r w:rsidR="0083559C" w:rsidRPr="00ED4B34">
        <w:t xml:space="preserve"> </w:t>
      </w:r>
      <w:r w:rsidR="00573CAD" w:rsidRPr="00ED4B34">
        <w:t>kDa</w:t>
      </w:r>
      <w:r w:rsidR="00A46793" w:rsidRPr="00ED4B34">
        <w:t xml:space="preserve"> (p30)</w:t>
      </w:r>
      <w:r w:rsidR="00573CAD" w:rsidRPr="00ED4B34">
        <w:t xml:space="preserve"> de </w:t>
      </w:r>
      <w:r w:rsidR="00573CAD" w:rsidRPr="00ED4B34">
        <w:rPr>
          <w:i/>
          <w:iCs/>
        </w:rPr>
        <w:t>Salmonella typhimurium</w:t>
      </w:r>
      <w:r w:rsidR="00261CBF" w:rsidRPr="00ED4B34">
        <w:t xml:space="preserve"> con </w:t>
      </w:r>
      <w:r w:rsidR="00A46793" w:rsidRPr="00ED4B34">
        <w:t>la enfermedad,</w:t>
      </w:r>
      <w:r w:rsidR="005C199E">
        <w:t xml:space="preserve"> ya que se ha encontrado que PBMCs de pacientes con EA linfoproliferan en presencia de extracto de </w:t>
      </w:r>
      <w:r w:rsidR="005C199E" w:rsidRPr="00B64518">
        <w:rPr>
          <w:i/>
        </w:rPr>
        <w:t>S. typhimurium</w:t>
      </w:r>
      <w:r w:rsidR="005C199E">
        <w:t>, además de que se observa una respuesta celular frente a esta bacteria y a p30 en comparación con sujetos sanos</w:t>
      </w:r>
      <w:r w:rsidR="00ED4B34" w:rsidRPr="00ED4B34">
        <w:t xml:space="preserve"> (9</w:t>
      </w:r>
      <w:r w:rsidR="00E45F00" w:rsidRPr="00ED4B34">
        <w:t xml:space="preserve">). </w:t>
      </w:r>
      <w:r w:rsidR="00B04FEF" w:rsidRPr="00ED4B34">
        <w:t xml:space="preserve">Un estudio demostró que existen niveles altos de anticuerpos IgG totales, IgG1 e IgG3 en pacientes con EA en comparación con grupos sanos, y que estos anticuerpos </w:t>
      </w:r>
      <w:r w:rsidR="00A7214E">
        <w:t>reconocen</w:t>
      </w:r>
      <w:r w:rsidR="00B04FEF" w:rsidRPr="00ED4B34">
        <w:t xml:space="preserve"> a </w:t>
      </w:r>
      <w:r w:rsidR="007B59C2">
        <w:t xml:space="preserve">la </w:t>
      </w:r>
      <w:r w:rsidR="00B04FEF" w:rsidRPr="00ED4B34">
        <w:t xml:space="preserve">p30 </w:t>
      </w:r>
      <w:r w:rsidR="007B59C2" w:rsidRPr="00ED4B34">
        <w:t xml:space="preserve">de </w:t>
      </w:r>
      <w:r w:rsidR="007B59C2" w:rsidRPr="00ED4B34">
        <w:rPr>
          <w:i/>
          <w:iCs/>
        </w:rPr>
        <w:t>Salmonella typhimurium</w:t>
      </w:r>
      <w:r w:rsidR="007B59C2" w:rsidRPr="00ED4B34">
        <w:t xml:space="preserve"> </w:t>
      </w:r>
      <w:r w:rsidR="00ED4B34" w:rsidRPr="00ED4B34">
        <w:t>(10</w:t>
      </w:r>
      <w:r w:rsidR="00B83FEE" w:rsidRPr="00ED4B34">
        <w:t>).</w:t>
      </w:r>
    </w:p>
    <w:p w14:paraId="0D925EC9" w14:textId="2CE804BE" w:rsidR="057D14C4" w:rsidRPr="00ED4B34" w:rsidRDefault="00914365" w:rsidP="009406CB">
      <w:pPr>
        <w:pStyle w:val="Default"/>
        <w:spacing w:before="100" w:beforeAutospacing="1" w:after="100" w:afterAutospacing="1" w:line="360" w:lineRule="auto"/>
        <w:contextualSpacing/>
        <w:jc w:val="both"/>
      </w:pPr>
      <w:r w:rsidRPr="00ED4B34">
        <w:t xml:space="preserve">Sin embargo, además de los estudios que demuestran la respuesta linfoproliferativa frente a la p30 de </w:t>
      </w:r>
      <w:r w:rsidR="00A7214E">
        <w:rPr>
          <w:i/>
        </w:rPr>
        <w:t>S</w:t>
      </w:r>
      <w:r w:rsidRPr="003152C9">
        <w:rPr>
          <w:i/>
        </w:rPr>
        <w:t>. typhimurium</w:t>
      </w:r>
      <w:r w:rsidRPr="00ED4B34">
        <w:t>, son pocos los estudios que demuestran la capacidad de respuesta del sistema inmune frente a la p30, tanto a nivel de la respuesta inmune innata</w:t>
      </w:r>
      <w:r w:rsidR="00A7214E">
        <w:t xml:space="preserve"> y adaptativa</w:t>
      </w:r>
      <w:r w:rsidR="00BC437C" w:rsidRPr="00ED4B34">
        <w:t xml:space="preserve">. </w:t>
      </w:r>
    </w:p>
    <w:p w14:paraId="4447BF6C" w14:textId="7787216D" w:rsidR="456D7381" w:rsidRPr="00ED4B34" w:rsidRDefault="46A3FBD9" w:rsidP="00431A27">
      <w:pPr>
        <w:pStyle w:val="Default"/>
        <w:spacing w:before="100" w:beforeAutospacing="1" w:after="100" w:afterAutospacing="1" w:line="360" w:lineRule="auto"/>
        <w:ind w:firstLine="397"/>
        <w:contextualSpacing/>
        <w:jc w:val="both"/>
      </w:pPr>
      <w:r w:rsidRPr="00ED4B34">
        <w:rPr>
          <w:b/>
          <w:bCs/>
        </w:rPr>
        <w:t xml:space="preserve">2.2 </w:t>
      </w:r>
      <w:r w:rsidR="00A7214E">
        <w:rPr>
          <w:b/>
          <w:bCs/>
        </w:rPr>
        <w:t>Respuesta inmune innata mediada por neutrófilos</w:t>
      </w:r>
    </w:p>
    <w:p w14:paraId="789A792F" w14:textId="77777777" w:rsidR="00A7214E" w:rsidRPr="00ED4B34" w:rsidRDefault="00A7214E" w:rsidP="00431A27">
      <w:pPr>
        <w:pStyle w:val="Default"/>
        <w:spacing w:before="100" w:beforeAutospacing="1" w:after="100" w:afterAutospacing="1" w:line="360" w:lineRule="auto"/>
        <w:contextualSpacing/>
        <w:jc w:val="both"/>
      </w:pPr>
      <w:r w:rsidRPr="00ED4B34">
        <w:t>La inmunidad innata es la primera línea de defensa contra infecciónes. Se compone de barreras físicas, químicas y celulares. Las principales células que participan en esta inmunidad son monocitos, macrófagos, eosinófilos, basófilos, mastocitos y neutrófilos (11)</w:t>
      </w:r>
    </w:p>
    <w:p w14:paraId="77ED01F2" w14:textId="77777777" w:rsidR="00CA0800" w:rsidRDefault="0096398C" w:rsidP="00CA0800">
      <w:pPr>
        <w:pStyle w:val="Default"/>
        <w:spacing w:before="100" w:beforeAutospacing="1" w:after="100" w:afterAutospacing="1" w:line="360" w:lineRule="auto"/>
        <w:contextualSpacing/>
        <w:jc w:val="both"/>
      </w:pPr>
      <w:r w:rsidRPr="00ED4B34">
        <w:t xml:space="preserve">Los neutrófilos son las primeras células </w:t>
      </w:r>
      <w:r w:rsidR="0093623B" w:rsidRPr="00ED4B34">
        <w:t xml:space="preserve">que </w:t>
      </w:r>
      <w:r w:rsidRPr="00ED4B34">
        <w:t>migra</w:t>
      </w:r>
      <w:r w:rsidR="00233FA5" w:rsidRPr="00ED4B34">
        <w:t>n</w:t>
      </w:r>
      <w:r w:rsidRPr="00ED4B34">
        <w:t xml:space="preserve"> de la sangre a los sitios de infección</w:t>
      </w:r>
      <w:r w:rsidR="00BA66A3" w:rsidRPr="00ED4B34">
        <w:t xml:space="preserve"> </w:t>
      </w:r>
      <w:r w:rsidR="0093623B" w:rsidRPr="00ED4B34">
        <w:t>mediante quimiotaxis</w:t>
      </w:r>
      <w:r w:rsidR="00ED4B34" w:rsidRPr="00ED4B34">
        <w:t xml:space="preserve"> (12</w:t>
      </w:r>
      <w:r w:rsidRPr="00ED4B34">
        <w:t>).</w:t>
      </w:r>
      <w:r w:rsidR="00BA66A3" w:rsidRPr="00ED4B34">
        <w:t xml:space="preserve"> </w:t>
      </w:r>
      <w:r w:rsidR="00332B9C" w:rsidRPr="00ED4B34">
        <w:t xml:space="preserve"> </w:t>
      </w:r>
    </w:p>
    <w:p w14:paraId="3A5C81EB" w14:textId="5A709893" w:rsidR="00CA0800" w:rsidRDefault="00332B9C" w:rsidP="00CA0800">
      <w:pPr>
        <w:pStyle w:val="Default"/>
        <w:spacing w:before="100" w:beforeAutospacing="1" w:after="100" w:afterAutospacing="1" w:line="360" w:lineRule="auto"/>
        <w:contextualSpacing/>
        <w:jc w:val="both"/>
      </w:pPr>
      <w:r w:rsidRPr="00ED4B34">
        <w:t xml:space="preserve">Los mecanismos utilizados por los neutrófilos para eliminar </w:t>
      </w:r>
      <w:r w:rsidR="00914365" w:rsidRPr="00ED4B34">
        <w:t>antí</w:t>
      </w:r>
      <w:r w:rsidR="00DA6B35" w:rsidRPr="00ED4B34">
        <w:t>genos</w:t>
      </w:r>
      <w:r w:rsidRPr="00ED4B34">
        <w:t xml:space="preserve"> incluyen fagocitosis, generación de especies reactivas de oxígeno (ROS) y</w:t>
      </w:r>
      <w:r w:rsidR="00914365" w:rsidRPr="00ED4B34">
        <w:t xml:space="preserve"> </w:t>
      </w:r>
      <w:r w:rsidRPr="00ED4B34">
        <w:t>liberación de moléculas microbicidas a partir de gránulos (degranulación). </w:t>
      </w:r>
      <w:r w:rsidR="0093623B" w:rsidRPr="00ED4B34">
        <w:t>Además, en la última década se ha descubierto un nuevo mecanismo microbicida de neutrófilos denominado NETosis</w:t>
      </w:r>
      <w:r w:rsidR="00ED4B34" w:rsidRPr="00ED4B34">
        <w:t xml:space="preserve"> (13</w:t>
      </w:r>
      <w:r w:rsidR="00B46A03" w:rsidRPr="00ED4B34">
        <w:t>)</w:t>
      </w:r>
      <w:r w:rsidR="0093623B" w:rsidRPr="00ED4B34">
        <w:t>, en el cual</w:t>
      </w:r>
      <w:r w:rsidR="00DA6B35" w:rsidRPr="00ED4B34">
        <w:t xml:space="preserve"> los neutrófilos forman</w:t>
      </w:r>
      <w:r w:rsidRPr="00ED4B34">
        <w:t xml:space="preserve"> una red de fibras de </w:t>
      </w:r>
      <w:r w:rsidRPr="00ED4B34">
        <w:lastRenderedPageBreak/>
        <w:t>cromatina que están decoradas con péptidos antimicrobianos derivados de gránulos y enzimas tales como elastasa</w:t>
      </w:r>
      <w:r w:rsidR="00914365" w:rsidRPr="00ED4B34">
        <w:t xml:space="preserve">, </w:t>
      </w:r>
      <w:r w:rsidRPr="00ED4B34">
        <w:t xml:space="preserve">catepsina G y mieloperoxidasa. Estas estructuras, llamadas trampas extracelulares de neutrófilos (NETs), representan una estrategia importante para inmovilizar y </w:t>
      </w:r>
      <w:r w:rsidR="00A7214E">
        <w:t>eliminar</w:t>
      </w:r>
      <w:r w:rsidR="00A7214E" w:rsidRPr="00ED4B34">
        <w:t xml:space="preserve"> </w:t>
      </w:r>
      <w:r w:rsidR="00DA6B35" w:rsidRPr="00ED4B34">
        <w:t>a l</w:t>
      </w:r>
      <w:r w:rsidR="00ED4B34" w:rsidRPr="00ED4B34">
        <w:t>os microorganismos invasores (14</w:t>
      </w:r>
      <w:r w:rsidR="00DA6B35" w:rsidRPr="00ED4B34">
        <w:t>).</w:t>
      </w:r>
    </w:p>
    <w:p w14:paraId="00751B3F" w14:textId="5F44AE63" w:rsidR="009406CB" w:rsidRDefault="00A7214E" w:rsidP="009406CB">
      <w:pPr>
        <w:pStyle w:val="Default"/>
        <w:spacing w:before="100" w:beforeAutospacing="1" w:after="100" w:afterAutospacing="1" w:line="360" w:lineRule="auto"/>
        <w:contextualSpacing/>
        <w:jc w:val="both"/>
        <w:rPr>
          <w:rFonts w:eastAsia="Arial"/>
        </w:rPr>
      </w:pPr>
      <w:r>
        <w:rPr>
          <w:rFonts w:eastAsia="Arial"/>
        </w:rPr>
        <w:t>E</w:t>
      </w:r>
      <w:r w:rsidRPr="00ED4B34">
        <w:rPr>
          <w:rFonts w:eastAsia="Arial"/>
        </w:rPr>
        <w:t>xiste una amplia variedad de estímulos que inducen la formación de NETs</w:t>
      </w:r>
      <w:r>
        <w:rPr>
          <w:rFonts w:eastAsia="Arial"/>
        </w:rPr>
        <w:t>,</w:t>
      </w:r>
      <w:r w:rsidR="00CA0800">
        <w:rPr>
          <w:rFonts w:eastAsia="Arial"/>
        </w:rPr>
        <w:t xml:space="preserve"> incluyendo; hongos, parásitos, virus y bacterias,</w:t>
      </w:r>
      <w:r w:rsidRPr="00ED4B34">
        <w:rPr>
          <w:rFonts w:eastAsia="Arial"/>
        </w:rPr>
        <w:t xml:space="preserve"> </w:t>
      </w:r>
      <w:r>
        <w:rPr>
          <w:rFonts w:eastAsia="Arial"/>
        </w:rPr>
        <w:t>sin embargo, uno de los compuestos más</w:t>
      </w:r>
      <w:r w:rsidR="00FC0893" w:rsidRPr="00ED4B34">
        <w:rPr>
          <w:rFonts w:eastAsia="Arial"/>
        </w:rPr>
        <w:t xml:space="preserve">  </w:t>
      </w:r>
      <w:r w:rsidRPr="00ED4B34">
        <w:rPr>
          <w:rFonts w:eastAsia="Arial"/>
        </w:rPr>
        <w:t>potente</w:t>
      </w:r>
      <w:r>
        <w:rPr>
          <w:rFonts w:eastAsia="Arial"/>
        </w:rPr>
        <w:t>s para la formación de NETS es el</w:t>
      </w:r>
      <w:r w:rsidRPr="00ED4B34">
        <w:rPr>
          <w:rFonts w:eastAsia="Arial"/>
        </w:rPr>
        <w:t xml:space="preserve"> </w:t>
      </w:r>
      <w:r w:rsidR="00FC0893" w:rsidRPr="00ED4B34">
        <w:rPr>
          <w:rFonts w:eastAsia="Arial"/>
        </w:rPr>
        <w:t>Forbol 12-Miristato 13-Acetato (PMA)</w:t>
      </w:r>
      <w:r w:rsidR="00CA0800" w:rsidRPr="00ED4B34">
        <w:rPr>
          <w:rFonts w:eastAsia="Arial"/>
        </w:rPr>
        <w:t xml:space="preserve"> </w:t>
      </w:r>
      <w:r w:rsidR="00CA0800">
        <w:rPr>
          <w:rFonts w:eastAsia="Arial"/>
        </w:rPr>
        <w:t>(</w:t>
      </w:r>
      <w:r w:rsidR="00ED4B34" w:rsidRPr="00ED4B34">
        <w:rPr>
          <w:rFonts w:eastAsia="Arial"/>
        </w:rPr>
        <w:t>13,15</w:t>
      </w:r>
      <w:r w:rsidR="00587AFB" w:rsidRPr="00ED4B34">
        <w:rPr>
          <w:rFonts w:eastAsia="Arial"/>
        </w:rPr>
        <w:t>).</w:t>
      </w:r>
      <w:r w:rsidR="009406CB">
        <w:rPr>
          <w:rFonts w:eastAsia="Arial"/>
        </w:rPr>
        <w:t xml:space="preserve"> </w:t>
      </w:r>
    </w:p>
    <w:p w14:paraId="2F9503EE" w14:textId="77777777" w:rsidR="009406CB" w:rsidRDefault="00CA0800" w:rsidP="009F3EB8">
      <w:pPr>
        <w:pStyle w:val="Default"/>
        <w:spacing w:before="100" w:beforeAutospacing="1" w:after="100" w:afterAutospacing="1" w:line="360" w:lineRule="auto"/>
        <w:ind w:firstLine="426"/>
        <w:contextualSpacing/>
        <w:jc w:val="both"/>
        <w:rPr>
          <w:rFonts w:eastAsia="Arial"/>
          <w:b/>
          <w:bCs/>
          <w:color w:val="000000" w:themeColor="text1"/>
        </w:rPr>
      </w:pPr>
      <w:r>
        <w:rPr>
          <w:rFonts w:eastAsia="Arial"/>
          <w:b/>
          <w:bCs/>
          <w:color w:val="000000" w:themeColor="text1"/>
        </w:rPr>
        <w:t>2.2.1</w:t>
      </w:r>
      <w:r w:rsidR="009406CB">
        <w:rPr>
          <w:rFonts w:eastAsia="Arial"/>
          <w:b/>
          <w:bCs/>
          <w:color w:val="000000" w:themeColor="text1"/>
        </w:rPr>
        <w:t xml:space="preserve"> NETs y</w:t>
      </w:r>
      <w:r w:rsidR="63552E40" w:rsidRPr="00ED4B34">
        <w:rPr>
          <w:rFonts w:eastAsia="Arial"/>
          <w:b/>
          <w:bCs/>
          <w:color w:val="000000" w:themeColor="text1"/>
        </w:rPr>
        <w:t xml:space="preserve"> </w:t>
      </w:r>
      <w:r w:rsidR="009406CB">
        <w:rPr>
          <w:rFonts w:eastAsia="Arial"/>
          <w:b/>
          <w:bCs/>
          <w:color w:val="000000" w:themeColor="text1"/>
        </w:rPr>
        <w:t>A</w:t>
      </w:r>
      <w:r w:rsidR="009406CB" w:rsidRPr="00ED4B34">
        <w:rPr>
          <w:rFonts w:eastAsia="Arial"/>
          <w:b/>
          <w:bCs/>
          <w:color w:val="000000" w:themeColor="text1"/>
        </w:rPr>
        <w:t>utoinmunidad</w:t>
      </w:r>
    </w:p>
    <w:p w14:paraId="30E666C7" w14:textId="77777777" w:rsidR="009F3EB8" w:rsidRDefault="00313764" w:rsidP="009F3EB8">
      <w:pPr>
        <w:pStyle w:val="Default"/>
        <w:spacing w:before="100" w:beforeAutospacing="1" w:after="100" w:afterAutospacing="1" w:line="360" w:lineRule="auto"/>
        <w:contextualSpacing/>
        <w:jc w:val="both"/>
        <w:rPr>
          <w:rFonts w:eastAsia="Arial"/>
        </w:rPr>
      </w:pPr>
      <w:r w:rsidRPr="00ED4B34">
        <w:rPr>
          <w:rFonts w:eastAsia="Arial"/>
        </w:rPr>
        <w:t xml:space="preserve">A pesar de la relevancia de la NETosis en la defensa </w:t>
      </w:r>
      <w:r w:rsidR="00A7214E">
        <w:rPr>
          <w:rFonts w:eastAsia="Arial"/>
        </w:rPr>
        <w:t>contra infecciones</w:t>
      </w:r>
      <w:r w:rsidRPr="00ED4B34">
        <w:rPr>
          <w:rFonts w:eastAsia="Arial"/>
        </w:rPr>
        <w:t>, las NET</w:t>
      </w:r>
      <w:r w:rsidR="00587AFB" w:rsidRPr="00ED4B34">
        <w:rPr>
          <w:rFonts w:eastAsia="Arial"/>
        </w:rPr>
        <w:t>s</w:t>
      </w:r>
      <w:r w:rsidRPr="00ED4B34">
        <w:rPr>
          <w:rFonts w:eastAsia="Arial"/>
        </w:rPr>
        <w:t xml:space="preserve"> podrían representar un arma de doble filo para el organismo</w:t>
      </w:r>
      <w:r w:rsidR="00587AFB" w:rsidRPr="00ED4B34">
        <w:rPr>
          <w:rFonts w:eastAsia="Arial"/>
        </w:rPr>
        <w:t>,</w:t>
      </w:r>
      <w:r w:rsidRPr="00ED4B34">
        <w:rPr>
          <w:rFonts w:eastAsia="Arial"/>
        </w:rPr>
        <w:t xml:space="preserve"> puesto que </w:t>
      </w:r>
      <w:r w:rsidR="00587AFB" w:rsidRPr="00ED4B34">
        <w:rPr>
          <w:rFonts w:eastAsia="Arial"/>
        </w:rPr>
        <w:t xml:space="preserve">las </w:t>
      </w:r>
      <w:r w:rsidRPr="00ED4B34">
        <w:rPr>
          <w:rFonts w:eastAsia="Arial"/>
        </w:rPr>
        <w:t>proteasas</w:t>
      </w:r>
      <w:r w:rsidR="00587AFB" w:rsidRPr="00ED4B34">
        <w:rPr>
          <w:rFonts w:eastAsia="Arial"/>
        </w:rPr>
        <w:t xml:space="preserve"> contenidas en las trampas</w:t>
      </w:r>
      <w:r w:rsidRPr="00ED4B34">
        <w:rPr>
          <w:rFonts w:eastAsia="Arial"/>
        </w:rPr>
        <w:t xml:space="preserve"> </w:t>
      </w:r>
      <w:r w:rsidR="00587AFB" w:rsidRPr="00ED4B34">
        <w:rPr>
          <w:rFonts w:eastAsia="Arial"/>
        </w:rPr>
        <w:t xml:space="preserve">pueden </w:t>
      </w:r>
      <w:r w:rsidRPr="00ED4B34">
        <w:rPr>
          <w:rFonts w:eastAsia="Arial"/>
        </w:rPr>
        <w:t>ocasionar extenso da</w:t>
      </w:r>
      <w:r w:rsidR="0030173A" w:rsidRPr="00ED4B34">
        <w:rPr>
          <w:rFonts w:eastAsia="Arial"/>
        </w:rPr>
        <w:t>ño tisular ya que estas trampas extracelulares</w:t>
      </w:r>
      <w:r w:rsidRPr="00ED4B34">
        <w:rPr>
          <w:rFonts w:eastAsia="Arial"/>
        </w:rPr>
        <w:t xml:space="preserve"> constituyen una rica fuente de autoantígenos que podrían desencadenar fenómenos autoinmunes. Sustentando esta posibilidad, se ha reportado que muchos de los pacientes con Lupus Eritematoso Sistémico</w:t>
      </w:r>
      <w:r w:rsidR="002D47AE">
        <w:rPr>
          <w:rFonts w:eastAsia="Arial"/>
        </w:rPr>
        <w:t xml:space="preserve"> (LES)</w:t>
      </w:r>
      <w:r w:rsidRPr="00ED4B34">
        <w:rPr>
          <w:rFonts w:eastAsia="Arial"/>
        </w:rPr>
        <w:t>, una enfermedad autoinmune caracterizada por la producción de anticuerpos contra antígenos nucleares como ADN y ribonucleoproteínas, exhibe</w:t>
      </w:r>
      <w:r w:rsidR="00587AFB" w:rsidRPr="00ED4B34">
        <w:rPr>
          <w:rFonts w:eastAsia="Arial"/>
        </w:rPr>
        <w:t>n</w:t>
      </w:r>
      <w:r w:rsidRPr="00ED4B34">
        <w:rPr>
          <w:rFonts w:eastAsia="Arial"/>
        </w:rPr>
        <w:t xml:space="preserve"> una deficiente degradación de NET</w:t>
      </w:r>
      <w:r w:rsidR="00587AFB" w:rsidRPr="00ED4B34">
        <w:rPr>
          <w:rFonts w:eastAsia="Arial"/>
        </w:rPr>
        <w:t>s</w:t>
      </w:r>
      <w:r w:rsidRPr="00ED4B34">
        <w:rPr>
          <w:rFonts w:eastAsia="Arial"/>
        </w:rPr>
        <w:t>,</w:t>
      </w:r>
      <w:r w:rsidR="0030173A" w:rsidRPr="00ED4B34">
        <w:rPr>
          <w:rFonts w:eastAsia="Arial"/>
        </w:rPr>
        <w:t xml:space="preserve"> que se acentúa </w:t>
      </w:r>
      <w:r w:rsidR="002D47AE">
        <w:rPr>
          <w:rFonts w:eastAsia="Arial"/>
        </w:rPr>
        <w:t>en la fase crítica de la</w:t>
      </w:r>
      <w:r w:rsidRPr="00ED4B34">
        <w:rPr>
          <w:rFonts w:eastAsia="Arial"/>
        </w:rPr>
        <w:t xml:space="preserve"> enfermedad. </w:t>
      </w:r>
      <w:r w:rsidR="00B80781" w:rsidRPr="00ED4B34">
        <w:rPr>
          <w:rFonts w:eastAsia="Arial"/>
        </w:rPr>
        <w:t>Además de LES, existen otras enfermedades autoinmunes que se han asociado con NETs, tales como artritis reumatoide, psoriasis, vasculitis de vaso pequeño, diabetes mellitus tipo 1</w:t>
      </w:r>
      <w:r w:rsidR="00124919" w:rsidRPr="00ED4B34">
        <w:rPr>
          <w:rFonts w:eastAsia="Arial"/>
        </w:rPr>
        <w:t xml:space="preserve"> </w:t>
      </w:r>
      <w:r w:rsidR="00B80781" w:rsidRPr="00ED4B34">
        <w:rPr>
          <w:rFonts w:eastAsia="Arial"/>
        </w:rPr>
        <w:t xml:space="preserve">y otras enfermedades autoinflamatorias. Por </w:t>
      </w:r>
      <w:r w:rsidR="002D47AE">
        <w:rPr>
          <w:rFonts w:eastAsia="Arial"/>
        </w:rPr>
        <w:t>lo anterior</w:t>
      </w:r>
      <w:r w:rsidR="00B80781" w:rsidRPr="00ED4B34">
        <w:rPr>
          <w:rFonts w:eastAsia="Arial"/>
        </w:rPr>
        <w:t>, es de esperar que tanto la generación como la eliminación de las NETs deben ser proce</w:t>
      </w:r>
      <w:r w:rsidR="00ED4B34" w:rsidRPr="00ED4B34">
        <w:rPr>
          <w:rFonts w:eastAsia="Arial"/>
        </w:rPr>
        <w:t>sos cuidadosamente regulados (14, 16</w:t>
      </w:r>
      <w:r w:rsidR="00B80781" w:rsidRPr="00ED4B34">
        <w:rPr>
          <w:rFonts w:eastAsia="Arial"/>
        </w:rPr>
        <w:t>).</w:t>
      </w:r>
    </w:p>
    <w:p w14:paraId="29CFDBE8" w14:textId="77777777" w:rsidR="009F3EB8" w:rsidRDefault="0030173A" w:rsidP="009F3EB8">
      <w:pPr>
        <w:pStyle w:val="Default"/>
        <w:spacing w:before="100" w:beforeAutospacing="1" w:after="100" w:afterAutospacing="1" w:line="360" w:lineRule="auto"/>
        <w:ind w:firstLine="709"/>
        <w:contextualSpacing/>
        <w:jc w:val="both"/>
        <w:rPr>
          <w:rFonts w:eastAsia="Arial"/>
          <w:b/>
        </w:rPr>
      </w:pPr>
      <w:r w:rsidRPr="00ED4B34">
        <w:rPr>
          <w:rFonts w:eastAsia="Arial"/>
          <w:b/>
        </w:rPr>
        <w:t>3</w:t>
      </w:r>
      <w:r w:rsidR="002D47AE">
        <w:rPr>
          <w:rFonts w:eastAsia="Arial"/>
          <w:b/>
        </w:rPr>
        <w:t xml:space="preserve">. </w:t>
      </w:r>
      <w:r w:rsidRPr="00ED4B34">
        <w:rPr>
          <w:rFonts w:eastAsia="Arial"/>
          <w:b/>
        </w:rPr>
        <w:t>JUSTIFICACIÓN</w:t>
      </w:r>
    </w:p>
    <w:p w14:paraId="5875A1E2" w14:textId="77777777" w:rsidR="009F3EB8" w:rsidRDefault="008A364B" w:rsidP="009F3EB8">
      <w:pPr>
        <w:pStyle w:val="Default"/>
        <w:spacing w:before="100" w:beforeAutospacing="1" w:after="100" w:afterAutospacing="1" w:line="360" w:lineRule="auto"/>
        <w:contextualSpacing/>
        <w:jc w:val="both"/>
        <w:rPr>
          <w:rFonts w:eastAsia="Arial"/>
          <w:bCs/>
        </w:rPr>
      </w:pPr>
      <w:r w:rsidRPr="00ED4B34">
        <w:rPr>
          <w:rFonts w:eastAsia="Arial"/>
        </w:rPr>
        <w:t xml:space="preserve">La espondilitis anquilosante es una enfermedad de naturaleza autoinmune, </w:t>
      </w:r>
      <w:r w:rsidR="00DA4E35">
        <w:rPr>
          <w:rFonts w:eastAsia="Arial"/>
          <w:bCs/>
        </w:rPr>
        <w:t>en la que los mecanismos inmunopatológicos no están completamente descritos, aunque se acepta que factores genéticos y ambientales se asocian con la enfermedad.</w:t>
      </w:r>
    </w:p>
    <w:p w14:paraId="56808D69" w14:textId="77777777" w:rsidR="009F3EB8" w:rsidRDefault="008A364B" w:rsidP="009F3EB8">
      <w:pPr>
        <w:pStyle w:val="Default"/>
        <w:spacing w:before="100" w:beforeAutospacing="1" w:after="100" w:afterAutospacing="1" w:line="360" w:lineRule="auto"/>
        <w:contextualSpacing/>
        <w:jc w:val="both"/>
        <w:rPr>
          <w:rFonts w:eastAsia="Arial"/>
        </w:rPr>
      </w:pPr>
      <w:r w:rsidRPr="00ED4B34">
        <w:rPr>
          <w:rFonts w:eastAsia="Arial"/>
        </w:rPr>
        <w:t xml:space="preserve">Dentro de los factores ambientales, existen reportes que demuestran la asociación entre infecciones con enterobacterias (i.e. </w:t>
      </w:r>
      <w:r w:rsidRPr="001544A8">
        <w:rPr>
          <w:rFonts w:eastAsia="Arial"/>
          <w:i/>
        </w:rPr>
        <w:t xml:space="preserve">K. </w:t>
      </w:r>
      <w:r w:rsidR="00DA4E35" w:rsidRPr="001544A8">
        <w:rPr>
          <w:rFonts w:eastAsia="Arial"/>
          <w:i/>
        </w:rPr>
        <w:t>pneumoniae</w:t>
      </w:r>
      <w:r w:rsidRPr="001544A8">
        <w:rPr>
          <w:rFonts w:eastAsia="Arial"/>
          <w:i/>
        </w:rPr>
        <w:t>, S. typhimurium</w:t>
      </w:r>
      <w:r w:rsidRPr="00ED4B34">
        <w:rPr>
          <w:rFonts w:eastAsia="Arial"/>
        </w:rPr>
        <w:t xml:space="preserve">) y la </w:t>
      </w:r>
      <w:r w:rsidRPr="00ED4B34">
        <w:rPr>
          <w:rFonts w:eastAsia="Arial"/>
        </w:rPr>
        <w:lastRenderedPageBreak/>
        <w:t xml:space="preserve">susceptibilidad a desarrollar EA. En este mismo sentido se ha reportado que existe una respuesta linfoproliferativa </w:t>
      </w:r>
      <w:r w:rsidR="00DA4E35">
        <w:rPr>
          <w:rFonts w:eastAsia="Arial"/>
        </w:rPr>
        <w:t xml:space="preserve">contra </w:t>
      </w:r>
      <w:r w:rsidRPr="00ED4B34">
        <w:rPr>
          <w:rFonts w:eastAsia="Arial"/>
        </w:rPr>
        <w:t xml:space="preserve">la p30 de </w:t>
      </w:r>
      <w:r w:rsidRPr="001544A8">
        <w:rPr>
          <w:rFonts w:eastAsia="Arial"/>
          <w:i/>
        </w:rPr>
        <w:t xml:space="preserve">S. </w:t>
      </w:r>
      <w:r w:rsidR="00DA4E35" w:rsidRPr="001544A8">
        <w:rPr>
          <w:rFonts w:eastAsia="Arial"/>
          <w:i/>
        </w:rPr>
        <w:t>typhimurium</w:t>
      </w:r>
      <w:r w:rsidR="00DA4E35" w:rsidRPr="00ED4B34">
        <w:rPr>
          <w:rFonts w:eastAsia="Arial"/>
        </w:rPr>
        <w:t xml:space="preserve"> </w:t>
      </w:r>
      <w:r w:rsidRPr="00ED4B34">
        <w:rPr>
          <w:rFonts w:eastAsia="Arial"/>
        </w:rPr>
        <w:t>y el reconocimiento de esta proteína por anticuerpos específicos presentes en el suero de pacientes con EA.</w:t>
      </w:r>
    </w:p>
    <w:p w14:paraId="1D918B41" w14:textId="77777777" w:rsidR="009F3EB8" w:rsidRDefault="009406CB" w:rsidP="009F3EB8">
      <w:pPr>
        <w:pStyle w:val="Default"/>
        <w:spacing w:before="100" w:beforeAutospacing="1" w:after="100" w:afterAutospacing="1" w:line="360" w:lineRule="auto"/>
        <w:contextualSpacing/>
        <w:jc w:val="both"/>
        <w:rPr>
          <w:rFonts w:eastAsia="Arial"/>
        </w:rPr>
      </w:pPr>
      <w:r>
        <w:rPr>
          <w:rFonts w:eastAsia="Arial"/>
        </w:rPr>
        <w:t>L</w:t>
      </w:r>
      <w:r w:rsidR="0016548D" w:rsidRPr="00ED4B34">
        <w:rPr>
          <w:rFonts w:eastAsia="Arial"/>
        </w:rPr>
        <w:t xml:space="preserve">os componentes de las trampas extracelulares de neutrófilos juegan un papel importante en el desarrollo de algunas enfermedades autoinmunes. </w:t>
      </w:r>
      <w:r w:rsidR="008A364B" w:rsidRPr="00ED4B34">
        <w:rPr>
          <w:rFonts w:eastAsia="Arial"/>
        </w:rPr>
        <w:t>Sin embargo, hasta el mom</w:t>
      </w:r>
      <w:r w:rsidR="0016548D" w:rsidRPr="00ED4B34">
        <w:rPr>
          <w:rFonts w:eastAsia="Arial"/>
        </w:rPr>
        <w:t>ento no existen reportes que dem</w:t>
      </w:r>
      <w:r w:rsidR="008A364B" w:rsidRPr="00ED4B34">
        <w:rPr>
          <w:rFonts w:eastAsia="Arial"/>
        </w:rPr>
        <w:t xml:space="preserve">uestren si la p30 de </w:t>
      </w:r>
      <w:r w:rsidR="008A364B" w:rsidRPr="001544A8">
        <w:rPr>
          <w:rFonts w:eastAsia="Arial"/>
          <w:i/>
        </w:rPr>
        <w:t xml:space="preserve">S. </w:t>
      </w:r>
      <w:r w:rsidR="00DA4E35" w:rsidRPr="001544A8">
        <w:rPr>
          <w:rFonts w:eastAsia="Arial"/>
          <w:i/>
        </w:rPr>
        <w:t>typhimurium</w:t>
      </w:r>
      <w:r w:rsidR="002D47AE">
        <w:rPr>
          <w:rFonts w:eastAsia="Arial"/>
        </w:rPr>
        <w:t xml:space="preserve">, o los </w:t>
      </w:r>
      <w:r w:rsidR="00DA4E35">
        <w:rPr>
          <w:rFonts w:eastAsia="Arial"/>
        </w:rPr>
        <w:t xml:space="preserve">inmunocomplejos </w:t>
      </w:r>
      <w:r w:rsidR="002D47AE">
        <w:rPr>
          <w:rFonts w:eastAsia="Arial"/>
        </w:rPr>
        <w:t>formados por la interacción entre la p30 y los anticuerpos presentes en el suero de pacientes con EA</w:t>
      </w:r>
      <w:r w:rsidR="008A364B" w:rsidRPr="00ED4B34">
        <w:rPr>
          <w:rFonts w:eastAsia="Arial"/>
        </w:rPr>
        <w:t xml:space="preserve"> tiene </w:t>
      </w:r>
      <w:r w:rsidR="0016548D" w:rsidRPr="00ED4B34">
        <w:rPr>
          <w:rFonts w:eastAsia="Arial"/>
        </w:rPr>
        <w:t>alguna ingerencia en la respuesta inmune innata mediada por neutrófilos</w:t>
      </w:r>
      <w:r w:rsidR="002D47AE">
        <w:rPr>
          <w:rFonts w:eastAsia="Arial"/>
        </w:rPr>
        <w:t xml:space="preserve"> (producción de NETs)</w:t>
      </w:r>
      <w:r w:rsidR="0023317F">
        <w:rPr>
          <w:rFonts w:eastAsia="Arial"/>
        </w:rPr>
        <w:t>.</w:t>
      </w:r>
    </w:p>
    <w:p w14:paraId="38663A1C" w14:textId="2B0A042E" w:rsidR="009406CB" w:rsidRPr="009F3EB8" w:rsidRDefault="0016548D" w:rsidP="009F3EB8">
      <w:pPr>
        <w:pStyle w:val="Default"/>
        <w:spacing w:before="100" w:beforeAutospacing="1" w:after="100" w:afterAutospacing="1" w:line="360" w:lineRule="auto"/>
        <w:contextualSpacing/>
        <w:jc w:val="both"/>
        <w:rPr>
          <w:rFonts w:eastAsia="Arial"/>
        </w:rPr>
      </w:pPr>
      <w:r w:rsidRPr="00ED4B34">
        <w:rPr>
          <w:rFonts w:eastAsia="Arial"/>
        </w:rPr>
        <w:t>Por lo que en este estudio</w:t>
      </w:r>
      <w:r w:rsidR="00E5763B" w:rsidRPr="00ED4B34">
        <w:rPr>
          <w:rFonts w:eastAsia="Arial"/>
        </w:rPr>
        <w:t xml:space="preserve"> </w:t>
      </w:r>
      <w:r w:rsidR="002D47AE">
        <w:rPr>
          <w:rFonts w:eastAsia="Arial"/>
        </w:rPr>
        <w:t xml:space="preserve">se </w:t>
      </w:r>
      <w:r w:rsidR="00DA4E35">
        <w:rPr>
          <w:rFonts w:eastAsia="Arial"/>
        </w:rPr>
        <w:t>planteó</w:t>
      </w:r>
      <w:r w:rsidR="00DA4E35" w:rsidRPr="00ED4B34">
        <w:rPr>
          <w:rFonts w:eastAsia="Arial"/>
        </w:rPr>
        <w:t xml:space="preserve"> </w:t>
      </w:r>
      <w:r w:rsidRPr="00ED4B34">
        <w:rPr>
          <w:rFonts w:eastAsia="Arial"/>
        </w:rPr>
        <w:t xml:space="preserve">demostrar el efecto </w:t>
      </w:r>
      <w:r w:rsidR="000C7397">
        <w:rPr>
          <w:rFonts w:eastAsia="Arial"/>
        </w:rPr>
        <w:t xml:space="preserve">combinado </w:t>
      </w:r>
      <w:r w:rsidRPr="00ED4B34">
        <w:rPr>
          <w:rFonts w:eastAsia="Arial"/>
        </w:rPr>
        <w:t>que tiene la</w:t>
      </w:r>
      <w:r w:rsidR="00E5763B" w:rsidRPr="00ED4B34">
        <w:rPr>
          <w:rFonts w:eastAsia="Arial"/>
        </w:rPr>
        <w:t xml:space="preserve"> proteína de 30 kDa de </w:t>
      </w:r>
      <w:r w:rsidR="00DA4E35" w:rsidRPr="001544A8">
        <w:rPr>
          <w:rFonts w:eastAsia="Arial"/>
          <w:i/>
        </w:rPr>
        <w:t xml:space="preserve">Salmonella </w:t>
      </w:r>
      <w:r w:rsidR="00E5763B" w:rsidRPr="001544A8">
        <w:rPr>
          <w:rFonts w:eastAsia="Arial"/>
          <w:i/>
        </w:rPr>
        <w:t>typhimurium</w:t>
      </w:r>
      <w:r w:rsidR="00E5763B" w:rsidRPr="00ED4B34">
        <w:rPr>
          <w:rFonts w:eastAsia="Arial"/>
        </w:rPr>
        <w:t xml:space="preserve"> </w:t>
      </w:r>
      <w:r w:rsidR="000C7397">
        <w:rPr>
          <w:rFonts w:eastAsia="Arial"/>
        </w:rPr>
        <w:t xml:space="preserve">y el suero de pacientes con espondilitis anquilosante en la </w:t>
      </w:r>
      <w:r w:rsidR="00E3269C" w:rsidRPr="00ED4B34">
        <w:rPr>
          <w:rFonts w:eastAsia="Arial"/>
        </w:rPr>
        <w:t>producción de trampas extracelulares de neutrófilos</w:t>
      </w:r>
      <w:r w:rsidR="002D47AE">
        <w:rPr>
          <w:rFonts w:eastAsia="Arial"/>
        </w:rPr>
        <w:t>.</w:t>
      </w:r>
    </w:p>
    <w:p w14:paraId="376E31D0" w14:textId="77777777" w:rsidR="00CA0800" w:rsidRDefault="0030173A" w:rsidP="00CA080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D4B34">
        <w:rPr>
          <w:rFonts w:ascii="Arial" w:eastAsia="Arial" w:hAnsi="Arial" w:cs="Arial"/>
          <w:b/>
          <w:bCs/>
          <w:sz w:val="24"/>
          <w:szCs w:val="24"/>
        </w:rPr>
        <w:t>4</w:t>
      </w:r>
      <w:r w:rsidR="6B641A76" w:rsidRPr="00ED4B34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280CFC" w:rsidRPr="00ED4B34">
        <w:rPr>
          <w:rFonts w:ascii="Arial" w:eastAsia="Arial" w:hAnsi="Arial" w:cs="Arial"/>
          <w:b/>
          <w:bCs/>
          <w:sz w:val="24"/>
          <w:szCs w:val="24"/>
        </w:rPr>
        <w:t>HIPÓ</w:t>
      </w:r>
      <w:r w:rsidR="00EF4315" w:rsidRPr="00ED4B34">
        <w:rPr>
          <w:rFonts w:ascii="Arial" w:eastAsia="Arial" w:hAnsi="Arial" w:cs="Arial"/>
          <w:b/>
          <w:bCs/>
          <w:sz w:val="24"/>
          <w:szCs w:val="24"/>
        </w:rPr>
        <w:t>TESIS</w:t>
      </w:r>
    </w:p>
    <w:p w14:paraId="0799CD2E" w14:textId="44AED2E0" w:rsidR="00CA0800" w:rsidRDefault="00AC68F8" w:rsidP="00CA0800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0800">
        <w:rPr>
          <w:rFonts w:ascii="Arial" w:hAnsi="Arial" w:cs="Arial"/>
          <w:sz w:val="24"/>
          <w:szCs w:val="24"/>
        </w:rPr>
        <w:t xml:space="preserve">La proteína de 30 kDa de </w:t>
      </w:r>
      <w:r w:rsidRPr="001544A8">
        <w:rPr>
          <w:rFonts w:ascii="Arial" w:hAnsi="Arial" w:cs="Arial"/>
          <w:i/>
          <w:sz w:val="24"/>
          <w:szCs w:val="24"/>
        </w:rPr>
        <w:t>S. typhimurium</w:t>
      </w:r>
      <w:r w:rsidR="00DA4E35">
        <w:rPr>
          <w:rFonts w:ascii="Arial" w:hAnsi="Arial" w:cs="Arial"/>
          <w:i/>
          <w:sz w:val="24"/>
          <w:szCs w:val="24"/>
        </w:rPr>
        <w:t>,</w:t>
      </w:r>
      <w:r w:rsidRPr="00CA0800">
        <w:rPr>
          <w:rFonts w:ascii="Arial" w:hAnsi="Arial" w:cs="Arial"/>
          <w:sz w:val="24"/>
          <w:szCs w:val="24"/>
        </w:rPr>
        <w:t xml:space="preserve"> </w:t>
      </w:r>
      <w:r w:rsidR="00DA4E35">
        <w:rPr>
          <w:rFonts w:ascii="Arial" w:hAnsi="Arial" w:cs="Arial"/>
          <w:sz w:val="24"/>
          <w:szCs w:val="24"/>
        </w:rPr>
        <w:t xml:space="preserve">sola o </w:t>
      </w:r>
      <w:r w:rsidRPr="00CA0800">
        <w:rPr>
          <w:rFonts w:ascii="Arial" w:hAnsi="Arial" w:cs="Arial"/>
          <w:sz w:val="24"/>
          <w:szCs w:val="24"/>
        </w:rPr>
        <w:t>en combinación con el suero de pacientes con espondilitis anquilosante</w:t>
      </w:r>
      <w:r w:rsidR="00DA4E35">
        <w:rPr>
          <w:rFonts w:ascii="Arial" w:hAnsi="Arial" w:cs="Arial"/>
          <w:sz w:val="24"/>
          <w:szCs w:val="24"/>
        </w:rPr>
        <w:t>,</w:t>
      </w:r>
      <w:r w:rsidRPr="00CA0800">
        <w:rPr>
          <w:rFonts w:ascii="Arial" w:hAnsi="Arial" w:cs="Arial"/>
          <w:sz w:val="24"/>
          <w:szCs w:val="24"/>
        </w:rPr>
        <w:t xml:space="preserve"> </w:t>
      </w:r>
      <w:r w:rsidR="00DA4E35" w:rsidRPr="00CA0800">
        <w:rPr>
          <w:rFonts w:ascii="Arial" w:hAnsi="Arial" w:cs="Arial"/>
          <w:sz w:val="24"/>
          <w:szCs w:val="24"/>
        </w:rPr>
        <w:t>induce</w:t>
      </w:r>
      <w:r w:rsidRPr="00CA0800">
        <w:rPr>
          <w:rFonts w:ascii="Arial" w:hAnsi="Arial" w:cs="Arial"/>
          <w:sz w:val="24"/>
          <w:szCs w:val="24"/>
        </w:rPr>
        <w:t xml:space="preserve"> la liberación de trampas extracelulares de neutrófilos.</w:t>
      </w:r>
    </w:p>
    <w:p w14:paraId="2ECE38CF" w14:textId="77777777" w:rsidR="009406CB" w:rsidRPr="00CA0800" w:rsidRDefault="009406CB" w:rsidP="00CA0800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0CA813" w14:textId="77777777" w:rsidR="00CA0800" w:rsidRPr="00CA0800" w:rsidRDefault="0030173A" w:rsidP="00CA0800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A0800">
        <w:rPr>
          <w:rFonts w:ascii="Arial" w:eastAsia="Arial" w:hAnsi="Arial" w:cs="Arial"/>
          <w:b/>
          <w:bCs/>
          <w:sz w:val="24"/>
          <w:szCs w:val="24"/>
        </w:rPr>
        <w:t>5</w:t>
      </w:r>
      <w:r w:rsidR="6B641A76" w:rsidRPr="00CA0800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EF4315" w:rsidRPr="00CA0800">
        <w:rPr>
          <w:rFonts w:ascii="Arial" w:eastAsia="Arial" w:hAnsi="Arial" w:cs="Arial"/>
          <w:b/>
          <w:bCs/>
          <w:sz w:val="24"/>
          <w:szCs w:val="24"/>
        </w:rPr>
        <w:t>OBJETIVO GENERAL</w:t>
      </w:r>
    </w:p>
    <w:p w14:paraId="702CEF08" w14:textId="3D0A9C77" w:rsidR="12546DFE" w:rsidRDefault="00280CFC" w:rsidP="00CA0800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0800">
        <w:rPr>
          <w:rFonts w:ascii="Arial" w:hAnsi="Arial" w:cs="Arial"/>
          <w:sz w:val="24"/>
          <w:szCs w:val="24"/>
        </w:rPr>
        <w:t xml:space="preserve">Determinar </w:t>
      </w:r>
      <w:r w:rsidR="00E3269C" w:rsidRPr="00CA0800">
        <w:rPr>
          <w:rFonts w:ascii="Arial" w:hAnsi="Arial" w:cs="Arial"/>
          <w:sz w:val="24"/>
          <w:szCs w:val="24"/>
        </w:rPr>
        <w:t xml:space="preserve">el efecto </w:t>
      </w:r>
      <w:r w:rsidR="000C7397" w:rsidRPr="00CA0800">
        <w:rPr>
          <w:rFonts w:ascii="Arial" w:hAnsi="Arial" w:cs="Arial"/>
          <w:sz w:val="24"/>
          <w:szCs w:val="24"/>
        </w:rPr>
        <w:t xml:space="preserve">de la proteína de 30 kDa de </w:t>
      </w:r>
      <w:r w:rsidR="000C7397" w:rsidRPr="005C199E">
        <w:rPr>
          <w:rFonts w:ascii="Arial" w:hAnsi="Arial" w:cs="Arial"/>
          <w:i/>
          <w:sz w:val="24"/>
          <w:szCs w:val="24"/>
        </w:rPr>
        <w:t>S. typhimurium</w:t>
      </w:r>
      <w:r w:rsidR="00DA4E35">
        <w:rPr>
          <w:rFonts w:ascii="Arial" w:hAnsi="Arial" w:cs="Arial"/>
          <w:i/>
          <w:sz w:val="24"/>
          <w:szCs w:val="24"/>
        </w:rPr>
        <w:t>,</w:t>
      </w:r>
      <w:r w:rsidR="000C7397" w:rsidRPr="00CA0800">
        <w:rPr>
          <w:rFonts w:ascii="Arial" w:hAnsi="Arial" w:cs="Arial"/>
          <w:sz w:val="24"/>
          <w:szCs w:val="24"/>
        </w:rPr>
        <w:t xml:space="preserve"> </w:t>
      </w:r>
      <w:r w:rsidR="00DA4E35">
        <w:rPr>
          <w:rFonts w:ascii="Arial" w:hAnsi="Arial" w:cs="Arial"/>
          <w:sz w:val="24"/>
          <w:szCs w:val="24"/>
        </w:rPr>
        <w:t xml:space="preserve">sola o </w:t>
      </w:r>
      <w:r w:rsidR="000C7397" w:rsidRPr="00CA0800">
        <w:rPr>
          <w:rFonts w:ascii="Arial" w:hAnsi="Arial" w:cs="Arial"/>
          <w:sz w:val="24"/>
          <w:szCs w:val="24"/>
        </w:rPr>
        <w:t>en combinación con el suero de pacientes con espondilitis anquilosante</w:t>
      </w:r>
      <w:r w:rsidR="00DA4E35">
        <w:rPr>
          <w:rFonts w:ascii="Arial" w:hAnsi="Arial" w:cs="Arial"/>
          <w:sz w:val="24"/>
          <w:szCs w:val="24"/>
        </w:rPr>
        <w:t>,</w:t>
      </w:r>
      <w:r w:rsidR="00E3269C" w:rsidRPr="00CA0800">
        <w:rPr>
          <w:rFonts w:ascii="Arial" w:hAnsi="Arial" w:cs="Arial"/>
          <w:sz w:val="24"/>
          <w:szCs w:val="24"/>
        </w:rPr>
        <w:t xml:space="preserve"> </w:t>
      </w:r>
      <w:r w:rsidR="000C7397" w:rsidRPr="00CA0800">
        <w:rPr>
          <w:rFonts w:ascii="Arial" w:hAnsi="Arial" w:cs="Arial"/>
          <w:sz w:val="24"/>
          <w:szCs w:val="24"/>
        </w:rPr>
        <w:t xml:space="preserve">sobre </w:t>
      </w:r>
      <w:r w:rsidR="00E3269C" w:rsidRPr="00CA0800">
        <w:rPr>
          <w:rFonts w:ascii="Arial" w:hAnsi="Arial" w:cs="Arial"/>
          <w:sz w:val="24"/>
          <w:szCs w:val="24"/>
        </w:rPr>
        <w:t xml:space="preserve">la activación y producción </w:t>
      </w:r>
      <w:r w:rsidRPr="00CA0800">
        <w:rPr>
          <w:rFonts w:ascii="Arial" w:hAnsi="Arial" w:cs="Arial"/>
          <w:sz w:val="24"/>
          <w:szCs w:val="24"/>
        </w:rPr>
        <w:t>de trampas</w:t>
      </w:r>
      <w:r w:rsidR="007A324D" w:rsidRPr="00CA0800">
        <w:rPr>
          <w:rFonts w:ascii="Arial" w:hAnsi="Arial" w:cs="Arial"/>
          <w:sz w:val="24"/>
          <w:szCs w:val="24"/>
        </w:rPr>
        <w:t xml:space="preserve"> extracelulares de neutrófilos.</w:t>
      </w:r>
    </w:p>
    <w:p w14:paraId="6567579F" w14:textId="77777777" w:rsidR="005C199E" w:rsidRPr="00CA0800" w:rsidRDefault="005C199E" w:rsidP="00CA0800">
      <w:pPr>
        <w:spacing w:before="100" w:beforeAutospacing="1" w:after="100" w:afterAutospacing="1" w:line="36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C46B9E4" w14:textId="5785E2F6" w:rsidR="00EF4315" w:rsidRDefault="0030173A" w:rsidP="00431A27">
      <w:pPr>
        <w:spacing w:before="100" w:beforeAutospacing="1" w:after="100" w:afterAutospacing="1" w:line="360" w:lineRule="auto"/>
        <w:ind w:firstLine="397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D4B34">
        <w:rPr>
          <w:rFonts w:ascii="Arial" w:eastAsia="Arial" w:hAnsi="Arial" w:cs="Arial"/>
          <w:b/>
          <w:bCs/>
          <w:sz w:val="24"/>
          <w:szCs w:val="24"/>
        </w:rPr>
        <w:t>5</w:t>
      </w:r>
      <w:r w:rsidR="52824257" w:rsidRPr="00ED4B34">
        <w:rPr>
          <w:rFonts w:ascii="Arial" w:eastAsia="Arial" w:hAnsi="Arial" w:cs="Arial"/>
          <w:b/>
          <w:bCs/>
          <w:sz w:val="24"/>
          <w:szCs w:val="24"/>
        </w:rPr>
        <w:t>.1</w:t>
      </w:r>
      <w:r w:rsidR="3E357B68" w:rsidRPr="00ED4B3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F4315" w:rsidRPr="00ED4B34">
        <w:rPr>
          <w:rFonts w:ascii="Arial" w:eastAsia="Arial" w:hAnsi="Arial" w:cs="Arial"/>
          <w:b/>
          <w:bCs/>
          <w:sz w:val="24"/>
          <w:szCs w:val="24"/>
        </w:rPr>
        <w:t>OBJETIVOS</w:t>
      </w:r>
      <w:r w:rsidR="00280CFC" w:rsidRPr="00ED4B34">
        <w:rPr>
          <w:rFonts w:ascii="Arial" w:eastAsia="Arial" w:hAnsi="Arial" w:cs="Arial"/>
          <w:b/>
          <w:bCs/>
          <w:sz w:val="24"/>
          <w:szCs w:val="24"/>
        </w:rPr>
        <w:t xml:space="preserve"> PARTICULARES</w:t>
      </w:r>
    </w:p>
    <w:p w14:paraId="278C2831" w14:textId="01DCBDFD" w:rsidR="00E26FB4" w:rsidRPr="000C7397" w:rsidRDefault="00E26FB4" w:rsidP="00CA0800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C7397"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 w:rsidRPr="009406CB">
        <w:rPr>
          <w:rFonts w:ascii="Arial" w:eastAsia="Arial" w:hAnsi="Arial" w:cs="Arial"/>
          <w:bCs/>
          <w:sz w:val="24"/>
          <w:szCs w:val="24"/>
        </w:rPr>
        <w:t xml:space="preserve">Determinar el efecto de la p30 de </w:t>
      </w:r>
      <w:r w:rsidRPr="001544A8">
        <w:rPr>
          <w:rFonts w:ascii="Arial" w:hAnsi="Arial" w:cs="Arial"/>
          <w:i/>
          <w:sz w:val="24"/>
          <w:szCs w:val="24"/>
        </w:rPr>
        <w:t xml:space="preserve">S. </w:t>
      </w:r>
      <w:r w:rsidR="00DA4E35" w:rsidRPr="00DA4E35">
        <w:rPr>
          <w:rFonts w:ascii="Arial" w:hAnsi="Arial" w:cs="Arial"/>
          <w:i/>
          <w:sz w:val="24"/>
          <w:szCs w:val="24"/>
        </w:rPr>
        <w:t>typhimurium</w:t>
      </w:r>
      <w:r w:rsidR="00DA4E35" w:rsidRPr="000C7397">
        <w:rPr>
          <w:rFonts w:ascii="Arial" w:hAnsi="Arial" w:cs="Arial"/>
          <w:sz w:val="24"/>
          <w:szCs w:val="24"/>
        </w:rPr>
        <w:t xml:space="preserve"> </w:t>
      </w:r>
      <w:r w:rsidRPr="000C7397">
        <w:rPr>
          <w:rFonts w:ascii="Arial" w:hAnsi="Arial" w:cs="Arial"/>
          <w:sz w:val="24"/>
          <w:szCs w:val="24"/>
        </w:rPr>
        <w:t xml:space="preserve">en la producción de trampas extracelulares de neutrófilos. </w:t>
      </w:r>
    </w:p>
    <w:p w14:paraId="3D2908F4" w14:textId="0C713887" w:rsidR="00E26FB4" w:rsidRPr="000C7397" w:rsidRDefault="00280CFC" w:rsidP="00CA0800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0800">
        <w:rPr>
          <w:rFonts w:ascii="Arial" w:hAnsi="Arial" w:cs="Arial"/>
          <w:b/>
          <w:sz w:val="24"/>
          <w:szCs w:val="24"/>
        </w:rPr>
        <w:t xml:space="preserve"> </w:t>
      </w:r>
      <w:r w:rsidR="00E26FB4" w:rsidRPr="00CA0800">
        <w:rPr>
          <w:rFonts w:ascii="Arial" w:hAnsi="Arial" w:cs="Arial"/>
          <w:b/>
          <w:sz w:val="24"/>
          <w:szCs w:val="24"/>
        </w:rPr>
        <w:t>2.</w:t>
      </w:r>
      <w:r w:rsidR="00E26FB4" w:rsidRPr="000C7397">
        <w:rPr>
          <w:rFonts w:ascii="Arial" w:hAnsi="Arial" w:cs="Arial"/>
          <w:sz w:val="24"/>
          <w:szCs w:val="24"/>
        </w:rPr>
        <w:t xml:space="preserve"> </w:t>
      </w:r>
      <w:r w:rsidRPr="000C7397">
        <w:rPr>
          <w:rFonts w:ascii="Arial" w:hAnsi="Arial" w:cs="Arial"/>
          <w:sz w:val="24"/>
          <w:szCs w:val="24"/>
        </w:rPr>
        <w:t xml:space="preserve">Evaluar </w:t>
      </w:r>
      <w:r w:rsidR="00DA4E35">
        <w:rPr>
          <w:rFonts w:ascii="Arial" w:hAnsi="Arial" w:cs="Arial"/>
          <w:sz w:val="24"/>
          <w:szCs w:val="24"/>
        </w:rPr>
        <w:t xml:space="preserve">y comparar </w:t>
      </w:r>
      <w:r w:rsidR="000C7397" w:rsidRPr="000C7397">
        <w:rPr>
          <w:rFonts w:ascii="Arial" w:hAnsi="Arial" w:cs="Arial"/>
          <w:sz w:val="24"/>
          <w:szCs w:val="24"/>
        </w:rPr>
        <w:t xml:space="preserve">el efecto de la </w:t>
      </w:r>
      <w:r w:rsidR="00DA4E35">
        <w:rPr>
          <w:rFonts w:ascii="Arial" w:hAnsi="Arial" w:cs="Arial"/>
          <w:sz w:val="24"/>
          <w:szCs w:val="24"/>
        </w:rPr>
        <w:t>p30</w:t>
      </w:r>
      <w:r w:rsidR="000C7397" w:rsidRPr="000C7397">
        <w:rPr>
          <w:rFonts w:ascii="Arial" w:hAnsi="Arial" w:cs="Arial"/>
          <w:sz w:val="24"/>
          <w:szCs w:val="24"/>
        </w:rPr>
        <w:t xml:space="preserve"> de </w:t>
      </w:r>
      <w:r w:rsidR="000C7397" w:rsidRPr="005C199E">
        <w:rPr>
          <w:rFonts w:ascii="Arial" w:hAnsi="Arial" w:cs="Arial"/>
          <w:i/>
          <w:sz w:val="24"/>
          <w:szCs w:val="24"/>
        </w:rPr>
        <w:t>S. typhimurium</w:t>
      </w:r>
      <w:r w:rsidR="000C7397" w:rsidRPr="000C7397">
        <w:rPr>
          <w:rFonts w:ascii="Arial" w:hAnsi="Arial" w:cs="Arial"/>
          <w:sz w:val="24"/>
          <w:szCs w:val="24"/>
        </w:rPr>
        <w:t xml:space="preserve"> en combinación con el suero de pacientes con espondilitis anquilosante </w:t>
      </w:r>
      <w:r w:rsidR="000C7397">
        <w:rPr>
          <w:rFonts w:ascii="Arial" w:hAnsi="Arial" w:cs="Arial"/>
          <w:sz w:val="24"/>
          <w:szCs w:val="24"/>
        </w:rPr>
        <w:t>o</w:t>
      </w:r>
      <w:r w:rsidR="000C7397" w:rsidRPr="000C7397">
        <w:rPr>
          <w:rFonts w:ascii="Arial" w:hAnsi="Arial" w:cs="Arial"/>
          <w:sz w:val="24"/>
          <w:szCs w:val="24"/>
        </w:rPr>
        <w:t xml:space="preserve"> sujetos sanos sobre la</w:t>
      </w:r>
      <w:r w:rsidRPr="000C7397">
        <w:rPr>
          <w:rFonts w:ascii="Arial" w:hAnsi="Arial" w:cs="Arial"/>
          <w:sz w:val="24"/>
          <w:szCs w:val="24"/>
        </w:rPr>
        <w:t xml:space="preserve"> </w:t>
      </w:r>
      <w:r w:rsidR="00046DB5" w:rsidRPr="000C7397">
        <w:rPr>
          <w:rFonts w:ascii="Arial" w:hAnsi="Arial" w:cs="Arial"/>
          <w:sz w:val="24"/>
          <w:szCs w:val="24"/>
        </w:rPr>
        <w:t xml:space="preserve">producción </w:t>
      </w:r>
      <w:r w:rsidRPr="000C7397">
        <w:rPr>
          <w:rFonts w:ascii="Arial" w:hAnsi="Arial" w:cs="Arial"/>
          <w:sz w:val="24"/>
          <w:szCs w:val="24"/>
        </w:rPr>
        <w:t>de trampas extracelulares de neutrófilos</w:t>
      </w:r>
      <w:r w:rsidR="000C7397" w:rsidRPr="000C7397">
        <w:rPr>
          <w:rFonts w:ascii="Arial" w:hAnsi="Arial" w:cs="Arial"/>
          <w:sz w:val="24"/>
          <w:szCs w:val="24"/>
        </w:rPr>
        <w:t>.</w:t>
      </w:r>
      <w:r w:rsidRPr="000C7397">
        <w:rPr>
          <w:rFonts w:ascii="Arial" w:hAnsi="Arial" w:cs="Arial"/>
          <w:sz w:val="24"/>
          <w:szCs w:val="24"/>
        </w:rPr>
        <w:t xml:space="preserve"> </w:t>
      </w:r>
    </w:p>
    <w:p w14:paraId="3C72FAAF" w14:textId="77777777" w:rsidR="000C7397" w:rsidRDefault="000C7397" w:rsidP="00431A27">
      <w:pPr>
        <w:spacing w:before="100" w:beforeAutospacing="1" w:after="100" w:afterAutospacing="1" w:line="360" w:lineRule="auto"/>
        <w:ind w:firstLine="397"/>
        <w:contextualSpacing/>
        <w:jc w:val="both"/>
      </w:pPr>
    </w:p>
    <w:p w14:paraId="58E7B755" w14:textId="77777777" w:rsidR="00CA0800" w:rsidRPr="00CA0800" w:rsidRDefault="0090402A" w:rsidP="00CA080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A0800">
        <w:rPr>
          <w:rFonts w:ascii="Arial" w:eastAsia="Arial" w:hAnsi="Arial" w:cs="Arial"/>
          <w:b/>
          <w:bCs/>
          <w:sz w:val="24"/>
          <w:szCs w:val="24"/>
        </w:rPr>
        <w:lastRenderedPageBreak/>
        <w:t>6</w:t>
      </w:r>
      <w:r w:rsidR="3E357B68" w:rsidRPr="00CA0800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280CFC" w:rsidRPr="00CA0800">
        <w:rPr>
          <w:rFonts w:ascii="Arial" w:eastAsia="Arial" w:hAnsi="Arial" w:cs="Arial"/>
          <w:b/>
          <w:bCs/>
          <w:sz w:val="24"/>
          <w:szCs w:val="24"/>
        </w:rPr>
        <w:t>MATERIAL Y MÉ</w:t>
      </w:r>
      <w:r w:rsidR="00EF4315" w:rsidRPr="00CA0800">
        <w:rPr>
          <w:rFonts w:ascii="Arial" w:eastAsia="Arial" w:hAnsi="Arial" w:cs="Arial"/>
          <w:b/>
          <w:bCs/>
          <w:sz w:val="24"/>
          <w:szCs w:val="24"/>
        </w:rPr>
        <w:t>TODOS</w:t>
      </w:r>
    </w:p>
    <w:p w14:paraId="00254EF1" w14:textId="77777777" w:rsidR="009406CB" w:rsidRDefault="40493900" w:rsidP="009406CB">
      <w:pPr>
        <w:spacing w:before="100" w:beforeAutospacing="1" w:after="100" w:afterAutospacing="1" w:line="360" w:lineRule="auto"/>
        <w:ind w:firstLine="397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A0800">
        <w:rPr>
          <w:rFonts w:ascii="Arial" w:hAnsi="Arial" w:cs="Arial"/>
          <w:b/>
          <w:bCs/>
          <w:sz w:val="24"/>
          <w:szCs w:val="24"/>
        </w:rPr>
        <w:t xml:space="preserve">5.2 </w:t>
      </w:r>
      <w:r w:rsidR="007A324D" w:rsidRPr="00CA0800">
        <w:rPr>
          <w:rFonts w:ascii="Arial" w:hAnsi="Arial" w:cs="Arial"/>
          <w:b/>
          <w:bCs/>
          <w:sz w:val="24"/>
          <w:szCs w:val="24"/>
        </w:rPr>
        <w:t xml:space="preserve">Metodología </w:t>
      </w:r>
    </w:p>
    <w:p w14:paraId="683AF0A3" w14:textId="4B29AA46" w:rsidR="009406CB" w:rsidRPr="009406CB" w:rsidRDefault="00E75345" w:rsidP="0045474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6CB">
        <w:rPr>
          <w:rFonts w:ascii="Arial" w:hAnsi="Arial" w:cs="Arial"/>
          <w:sz w:val="24"/>
          <w:szCs w:val="24"/>
        </w:rPr>
        <w:t xml:space="preserve">Se </w:t>
      </w:r>
      <w:r w:rsidR="00DA4E35">
        <w:rPr>
          <w:rFonts w:ascii="Arial" w:hAnsi="Arial" w:cs="Arial"/>
          <w:sz w:val="24"/>
          <w:szCs w:val="24"/>
        </w:rPr>
        <w:t>seleccionaron aleatoriamente</w:t>
      </w:r>
      <w:r w:rsidR="008F5BAA" w:rsidRPr="009406CB">
        <w:rPr>
          <w:rFonts w:ascii="Arial" w:hAnsi="Arial" w:cs="Arial"/>
          <w:sz w:val="24"/>
          <w:szCs w:val="24"/>
        </w:rPr>
        <w:t xml:space="preserve"> 5 suero</w:t>
      </w:r>
      <w:r w:rsidR="00DA4E35">
        <w:rPr>
          <w:rFonts w:ascii="Arial" w:hAnsi="Arial" w:cs="Arial"/>
          <w:sz w:val="24"/>
          <w:szCs w:val="24"/>
        </w:rPr>
        <w:t>s</w:t>
      </w:r>
      <w:r w:rsidR="008F5BAA" w:rsidRPr="009406CB">
        <w:rPr>
          <w:rFonts w:ascii="Arial" w:hAnsi="Arial" w:cs="Arial"/>
          <w:sz w:val="24"/>
          <w:szCs w:val="24"/>
        </w:rPr>
        <w:t xml:space="preserve"> de pacientes y 5 de sujetos sanos</w:t>
      </w:r>
      <w:r w:rsidR="00DA4E35">
        <w:rPr>
          <w:rFonts w:ascii="Arial" w:hAnsi="Arial" w:cs="Arial"/>
          <w:sz w:val="24"/>
          <w:szCs w:val="24"/>
        </w:rPr>
        <w:t>,</w:t>
      </w:r>
      <w:r w:rsidR="008F5BAA" w:rsidRPr="009406CB">
        <w:rPr>
          <w:rFonts w:ascii="Arial" w:hAnsi="Arial" w:cs="Arial"/>
          <w:sz w:val="24"/>
          <w:szCs w:val="24"/>
        </w:rPr>
        <w:t xml:space="preserve"> </w:t>
      </w:r>
      <w:r w:rsidR="003152C9" w:rsidRPr="009406CB">
        <w:rPr>
          <w:rFonts w:ascii="Arial" w:hAnsi="Arial" w:cs="Arial"/>
          <w:sz w:val="24"/>
          <w:szCs w:val="24"/>
        </w:rPr>
        <w:t>del banco de muestras del laboratorio de inmunología</w:t>
      </w:r>
      <w:r w:rsidR="00DA4E35">
        <w:rPr>
          <w:rFonts w:ascii="Arial" w:hAnsi="Arial" w:cs="Arial"/>
          <w:sz w:val="24"/>
          <w:szCs w:val="24"/>
        </w:rPr>
        <w:t xml:space="preserve">, </w:t>
      </w:r>
      <w:r w:rsidR="003152C9" w:rsidRPr="009406CB">
        <w:rPr>
          <w:rFonts w:ascii="Arial" w:hAnsi="Arial" w:cs="Arial"/>
          <w:sz w:val="24"/>
          <w:szCs w:val="24"/>
        </w:rPr>
        <w:t xml:space="preserve">los cuales se </w:t>
      </w:r>
      <w:r w:rsidR="008F5BAA" w:rsidRPr="009406CB">
        <w:rPr>
          <w:rFonts w:ascii="Arial" w:hAnsi="Arial" w:cs="Arial"/>
          <w:sz w:val="24"/>
          <w:szCs w:val="24"/>
        </w:rPr>
        <w:t xml:space="preserve">encuentran alamacenados a -20°C. </w:t>
      </w:r>
    </w:p>
    <w:p w14:paraId="06F7CF14" w14:textId="77777777" w:rsidR="009F3EB8" w:rsidRDefault="00B721CC" w:rsidP="009F3EB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406CB">
        <w:rPr>
          <w:rFonts w:ascii="Arial" w:hAnsi="Arial" w:cs="Arial"/>
          <w:sz w:val="24"/>
          <w:szCs w:val="24"/>
        </w:rPr>
        <w:t xml:space="preserve">Todos los sujetos incluidos en </w:t>
      </w:r>
      <w:r w:rsidR="00980DE5" w:rsidRPr="009406CB">
        <w:rPr>
          <w:rFonts w:ascii="Arial" w:hAnsi="Arial" w:cs="Arial"/>
          <w:sz w:val="24"/>
          <w:szCs w:val="24"/>
        </w:rPr>
        <w:t>el estudio participaro</w:t>
      </w:r>
      <w:r w:rsidR="009A5658" w:rsidRPr="009406CB">
        <w:rPr>
          <w:rFonts w:ascii="Arial" w:hAnsi="Arial" w:cs="Arial"/>
          <w:sz w:val="24"/>
          <w:szCs w:val="24"/>
        </w:rPr>
        <w:t xml:space="preserve">n de forma voluntaria y </w:t>
      </w:r>
      <w:r w:rsidR="00DA4E35" w:rsidRPr="009406CB">
        <w:rPr>
          <w:rFonts w:ascii="Arial" w:hAnsi="Arial" w:cs="Arial"/>
          <w:sz w:val="24"/>
          <w:szCs w:val="24"/>
        </w:rPr>
        <w:t>firmar</w:t>
      </w:r>
      <w:r w:rsidR="00DA4E35">
        <w:rPr>
          <w:rFonts w:ascii="Arial" w:hAnsi="Arial" w:cs="Arial"/>
          <w:sz w:val="24"/>
          <w:szCs w:val="24"/>
        </w:rPr>
        <w:t>o</w:t>
      </w:r>
      <w:r w:rsidR="00DA4E35" w:rsidRPr="009406CB">
        <w:rPr>
          <w:rFonts w:ascii="Arial" w:hAnsi="Arial" w:cs="Arial"/>
          <w:sz w:val="24"/>
          <w:szCs w:val="24"/>
        </w:rPr>
        <w:t xml:space="preserve">n </w:t>
      </w:r>
      <w:r w:rsidR="00DA4E35">
        <w:rPr>
          <w:rFonts w:ascii="Arial" w:hAnsi="Arial" w:cs="Arial"/>
          <w:sz w:val="24"/>
          <w:szCs w:val="24"/>
        </w:rPr>
        <w:t>una</w:t>
      </w:r>
      <w:r w:rsidR="00DA4E35" w:rsidRPr="009406CB">
        <w:rPr>
          <w:rFonts w:ascii="Arial" w:hAnsi="Arial" w:cs="Arial"/>
          <w:sz w:val="24"/>
          <w:szCs w:val="24"/>
        </w:rPr>
        <w:t xml:space="preserve"> </w:t>
      </w:r>
      <w:r w:rsidR="009A5658" w:rsidRPr="009406CB">
        <w:rPr>
          <w:rFonts w:ascii="Arial" w:hAnsi="Arial" w:cs="Arial"/>
          <w:sz w:val="24"/>
          <w:szCs w:val="24"/>
        </w:rPr>
        <w:t>carta de consentimiento informado</w:t>
      </w:r>
      <w:r w:rsidR="00DA4E35">
        <w:rPr>
          <w:rFonts w:ascii="Arial" w:hAnsi="Arial" w:cs="Arial"/>
          <w:sz w:val="24"/>
          <w:szCs w:val="24"/>
        </w:rPr>
        <w:t xml:space="preserve">, de acuerdo </w:t>
      </w:r>
      <w:r w:rsidR="00EF4315" w:rsidRPr="009406CB">
        <w:rPr>
          <w:rFonts w:ascii="Arial" w:hAnsi="Arial" w:cs="Arial"/>
          <w:sz w:val="24"/>
          <w:szCs w:val="24"/>
        </w:rPr>
        <w:t>con las normas éticas, el Reglamento General de Salud en materia de Investigación para la Salud y con la declaración de Helsinki de 1975 y sus enmiendas</w:t>
      </w:r>
      <w:r w:rsidR="00CA0800" w:rsidRPr="009406CB">
        <w:rPr>
          <w:rFonts w:ascii="Arial" w:hAnsi="Arial" w:cs="Arial"/>
          <w:sz w:val="24"/>
          <w:szCs w:val="24"/>
        </w:rPr>
        <w:t>.</w:t>
      </w:r>
      <w:r w:rsidR="00EF4315" w:rsidRPr="009406CB">
        <w:rPr>
          <w:rFonts w:ascii="Arial" w:hAnsi="Arial" w:cs="Arial"/>
          <w:sz w:val="24"/>
          <w:szCs w:val="24"/>
        </w:rPr>
        <w:t xml:space="preserve"> </w:t>
      </w:r>
    </w:p>
    <w:p w14:paraId="5CACE3A4" w14:textId="50232FF4" w:rsidR="009F3EB8" w:rsidRPr="009F3EB8" w:rsidRDefault="003152C9" w:rsidP="009F3EB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F3EB8">
        <w:rPr>
          <w:rFonts w:ascii="Arial" w:hAnsi="Arial" w:cs="Arial"/>
          <w:b/>
          <w:bCs/>
          <w:sz w:val="24"/>
          <w:szCs w:val="24"/>
        </w:rPr>
        <w:t>5.2.1</w:t>
      </w:r>
      <w:r w:rsidR="57830692" w:rsidRPr="009F3EB8">
        <w:rPr>
          <w:rFonts w:ascii="Arial" w:hAnsi="Arial" w:cs="Arial"/>
          <w:b/>
          <w:bCs/>
          <w:sz w:val="24"/>
          <w:szCs w:val="24"/>
        </w:rPr>
        <w:t xml:space="preserve"> </w:t>
      </w:r>
      <w:r w:rsidR="00EF4315" w:rsidRPr="009F3EB8">
        <w:rPr>
          <w:rFonts w:ascii="Arial" w:hAnsi="Arial" w:cs="Arial"/>
          <w:b/>
          <w:bCs/>
          <w:sz w:val="24"/>
          <w:szCs w:val="24"/>
        </w:rPr>
        <w:t xml:space="preserve">Obtención de extracto soluble total de </w:t>
      </w:r>
      <w:r w:rsidR="2872DF7C" w:rsidRPr="009F3EB8">
        <w:rPr>
          <w:rFonts w:ascii="Arial" w:hAnsi="Arial" w:cs="Arial"/>
          <w:b/>
          <w:bCs/>
          <w:i/>
          <w:iCs/>
          <w:sz w:val="24"/>
          <w:szCs w:val="24"/>
        </w:rPr>
        <w:t>S. typhimurium</w:t>
      </w:r>
      <w:r w:rsidR="009F3EB8">
        <w:rPr>
          <w:rFonts w:ascii="Arial" w:hAnsi="Arial" w:cs="Arial"/>
          <w:b/>
          <w:bCs/>
          <w:sz w:val="24"/>
          <w:szCs w:val="24"/>
        </w:rPr>
        <w:t xml:space="preserve"> (EST-St)</w:t>
      </w:r>
    </w:p>
    <w:p w14:paraId="2AC6BFE2" w14:textId="2DB72A55" w:rsidR="009F3EB8" w:rsidRPr="009F3EB8" w:rsidRDefault="00256D55" w:rsidP="009F3EB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F3EB8">
        <w:rPr>
          <w:rFonts w:ascii="Arial" w:hAnsi="Arial" w:cs="Arial"/>
          <w:sz w:val="24"/>
          <w:szCs w:val="24"/>
        </w:rPr>
        <w:t>Las bacterias se cultivaron en caldo soya de tripticaseína (Bioxon) a 37ºC</w:t>
      </w:r>
      <w:r w:rsidR="009F3EB8">
        <w:rPr>
          <w:rFonts w:ascii="Arial" w:hAnsi="Arial" w:cs="Arial"/>
          <w:sz w:val="24"/>
          <w:szCs w:val="24"/>
        </w:rPr>
        <w:t>/24h</w:t>
      </w:r>
      <w:r w:rsidRPr="009F3EB8">
        <w:rPr>
          <w:rFonts w:ascii="Arial" w:hAnsi="Arial" w:cs="Arial"/>
          <w:sz w:val="24"/>
          <w:szCs w:val="24"/>
        </w:rPr>
        <w:t xml:space="preserve">, y la masa bacteriana se obtuvo y se lavó dos veces Con PBS estéril por centrifugación. El sedimento resultante se resuspendió </w:t>
      </w:r>
      <w:r w:rsidR="00B60099" w:rsidRPr="009F3EB8">
        <w:rPr>
          <w:rFonts w:ascii="Arial" w:hAnsi="Arial" w:cs="Arial"/>
          <w:sz w:val="24"/>
          <w:szCs w:val="24"/>
        </w:rPr>
        <w:t>e</w:t>
      </w:r>
      <w:r w:rsidRPr="009F3EB8">
        <w:rPr>
          <w:rFonts w:ascii="Arial" w:hAnsi="Arial" w:cs="Arial"/>
          <w:sz w:val="24"/>
          <w:szCs w:val="24"/>
        </w:rPr>
        <w:t>n PBS y se realizó</w:t>
      </w:r>
      <w:r w:rsidR="00B60099" w:rsidRPr="009F3EB8">
        <w:rPr>
          <w:rFonts w:ascii="Arial" w:hAnsi="Arial" w:cs="Arial"/>
          <w:sz w:val="24"/>
          <w:szCs w:val="24"/>
        </w:rPr>
        <w:t xml:space="preserve"> sonificación</w:t>
      </w:r>
      <w:r w:rsidRPr="009F3EB8">
        <w:rPr>
          <w:rFonts w:ascii="Arial" w:hAnsi="Arial" w:cs="Arial"/>
          <w:sz w:val="24"/>
          <w:szCs w:val="24"/>
        </w:rPr>
        <w:t xml:space="preserve"> (30 ciclos </w:t>
      </w:r>
      <w:r w:rsidR="00B60099" w:rsidRPr="009F3EB8">
        <w:rPr>
          <w:rFonts w:ascii="Arial" w:hAnsi="Arial" w:cs="Arial"/>
          <w:sz w:val="24"/>
          <w:szCs w:val="24"/>
        </w:rPr>
        <w:t xml:space="preserve">a 5 </w:t>
      </w:r>
      <w:r w:rsidR="00DA4E35" w:rsidRPr="009F3EB8">
        <w:rPr>
          <w:rFonts w:ascii="Arial" w:hAnsi="Arial" w:cs="Arial"/>
          <w:sz w:val="24"/>
          <w:szCs w:val="24"/>
        </w:rPr>
        <w:t xml:space="preserve">watts </w:t>
      </w:r>
      <w:r w:rsidR="00B60099" w:rsidRPr="009F3EB8">
        <w:rPr>
          <w:rFonts w:ascii="Arial" w:hAnsi="Arial" w:cs="Arial"/>
          <w:sz w:val="24"/>
          <w:szCs w:val="24"/>
        </w:rPr>
        <w:t xml:space="preserve">durante 30 s en </w:t>
      </w:r>
      <w:r w:rsidR="00DA4E35" w:rsidRPr="009F3EB8">
        <w:rPr>
          <w:rFonts w:ascii="Arial" w:hAnsi="Arial" w:cs="Arial"/>
          <w:sz w:val="24"/>
          <w:szCs w:val="24"/>
        </w:rPr>
        <w:t xml:space="preserve">intervalos </w:t>
      </w:r>
      <w:r w:rsidR="00B60099" w:rsidRPr="009F3EB8">
        <w:rPr>
          <w:rFonts w:ascii="Arial" w:hAnsi="Arial" w:cs="Arial"/>
          <w:sz w:val="24"/>
          <w:szCs w:val="24"/>
        </w:rPr>
        <w:t>de 1 min</w:t>
      </w:r>
      <w:r w:rsidRPr="009F3EB8">
        <w:rPr>
          <w:rFonts w:ascii="Arial" w:hAnsi="Arial" w:cs="Arial"/>
          <w:sz w:val="24"/>
          <w:szCs w:val="24"/>
        </w:rPr>
        <w:t>) en baño de hielo</w:t>
      </w:r>
      <w:r w:rsidR="00B60099" w:rsidRPr="009F3EB8">
        <w:rPr>
          <w:rFonts w:ascii="Arial" w:hAnsi="Arial" w:cs="Arial"/>
          <w:sz w:val="24"/>
          <w:szCs w:val="24"/>
        </w:rPr>
        <w:t>. La preparación antigénica se mantuvo a -20</w:t>
      </w:r>
      <w:r w:rsidRPr="009F3EB8">
        <w:rPr>
          <w:rFonts w:ascii="Arial" w:hAnsi="Arial" w:cs="Arial"/>
          <w:sz w:val="24"/>
          <w:szCs w:val="24"/>
        </w:rPr>
        <w:t>ºC hasta su utilización</w:t>
      </w:r>
      <w:r w:rsidR="007A324D" w:rsidRPr="009F3EB8">
        <w:rPr>
          <w:rFonts w:ascii="Arial" w:hAnsi="Arial" w:cs="Arial"/>
          <w:sz w:val="24"/>
          <w:szCs w:val="24"/>
        </w:rPr>
        <w:t xml:space="preserve"> </w:t>
      </w:r>
      <w:r w:rsidR="00ED4B34" w:rsidRPr="009F3EB8">
        <w:rPr>
          <w:rFonts w:ascii="Arial" w:hAnsi="Arial" w:cs="Arial"/>
          <w:sz w:val="24"/>
          <w:szCs w:val="24"/>
        </w:rPr>
        <w:t>(10</w:t>
      </w:r>
      <w:r w:rsidR="004A3960" w:rsidRPr="009F3EB8">
        <w:rPr>
          <w:rFonts w:ascii="Arial" w:hAnsi="Arial" w:cs="Arial"/>
          <w:sz w:val="24"/>
          <w:szCs w:val="24"/>
        </w:rPr>
        <w:t>)</w:t>
      </w:r>
      <w:r w:rsidR="007A324D" w:rsidRPr="009F3EB8">
        <w:rPr>
          <w:rFonts w:ascii="Arial" w:hAnsi="Arial" w:cs="Arial"/>
          <w:sz w:val="24"/>
          <w:szCs w:val="24"/>
        </w:rPr>
        <w:t>.</w:t>
      </w:r>
    </w:p>
    <w:p w14:paraId="5C4C477D" w14:textId="77777777" w:rsidR="009F3EB8" w:rsidRPr="009F3EB8" w:rsidRDefault="003152C9" w:rsidP="009F3EB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F3EB8">
        <w:rPr>
          <w:rFonts w:ascii="Arial" w:hAnsi="Arial" w:cs="Arial"/>
          <w:b/>
          <w:bCs/>
          <w:sz w:val="24"/>
          <w:szCs w:val="24"/>
        </w:rPr>
        <w:t>5.2.2</w:t>
      </w:r>
      <w:r w:rsidR="57830692" w:rsidRPr="009F3EB8">
        <w:rPr>
          <w:rFonts w:ascii="Arial" w:hAnsi="Arial" w:cs="Arial"/>
          <w:b/>
          <w:bCs/>
          <w:sz w:val="24"/>
          <w:szCs w:val="24"/>
        </w:rPr>
        <w:t xml:space="preserve"> </w:t>
      </w:r>
      <w:r w:rsidR="00EF4315" w:rsidRPr="009F3EB8">
        <w:rPr>
          <w:rFonts w:ascii="Arial" w:hAnsi="Arial" w:cs="Arial"/>
          <w:b/>
          <w:bCs/>
          <w:sz w:val="24"/>
          <w:szCs w:val="24"/>
        </w:rPr>
        <w:t xml:space="preserve">Obtención de la p30 de </w:t>
      </w:r>
      <w:r w:rsidR="1C93C37E" w:rsidRPr="009F3EB8">
        <w:rPr>
          <w:rFonts w:ascii="Arial" w:hAnsi="Arial" w:cs="Arial"/>
          <w:b/>
          <w:bCs/>
          <w:i/>
          <w:sz w:val="24"/>
          <w:szCs w:val="24"/>
        </w:rPr>
        <w:t xml:space="preserve">Salmonella </w:t>
      </w:r>
      <w:r w:rsidR="00EF4315" w:rsidRPr="009F3EB8">
        <w:rPr>
          <w:rFonts w:ascii="Arial" w:hAnsi="Arial" w:cs="Arial"/>
          <w:b/>
          <w:bCs/>
          <w:i/>
          <w:sz w:val="24"/>
          <w:szCs w:val="24"/>
        </w:rPr>
        <w:t>typhimurium</w:t>
      </w:r>
    </w:p>
    <w:p w14:paraId="46468208" w14:textId="025D3E36" w:rsidR="009F3EB8" w:rsidRPr="009F3EB8" w:rsidRDefault="00DA4E35" w:rsidP="009F3EB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F3EB8">
        <w:rPr>
          <w:rFonts w:ascii="Arial" w:hAnsi="Arial" w:cs="Arial"/>
          <w:sz w:val="24"/>
          <w:szCs w:val="24"/>
        </w:rPr>
        <w:t>L</w:t>
      </w:r>
      <w:r w:rsidR="003152C9" w:rsidRPr="009F3EB8">
        <w:rPr>
          <w:rFonts w:ascii="Arial" w:hAnsi="Arial" w:cs="Arial"/>
          <w:sz w:val="24"/>
          <w:szCs w:val="24"/>
        </w:rPr>
        <w:t>os</w:t>
      </w:r>
      <w:r w:rsidR="00B60099" w:rsidRPr="009F3EB8">
        <w:rPr>
          <w:rFonts w:ascii="Arial" w:hAnsi="Arial" w:cs="Arial"/>
          <w:sz w:val="24"/>
          <w:szCs w:val="24"/>
        </w:rPr>
        <w:t xml:space="preserve"> </w:t>
      </w:r>
      <w:r w:rsidR="00B60099" w:rsidRPr="009F3EB8">
        <w:rPr>
          <w:rFonts w:ascii="Arial" w:hAnsi="Arial" w:cs="Arial"/>
          <w:i/>
          <w:sz w:val="24"/>
          <w:szCs w:val="24"/>
        </w:rPr>
        <w:t>pellets</w:t>
      </w:r>
      <w:r w:rsidR="00B60099" w:rsidRPr="009F3EB8">
        <w:rPr>
          <w:rFonts w:ascii="Arial" w:hAnsi="Arial" w:cs="Arial"/>
          <w:sz w:val="24"/>
          <w:szCs w:val="24"/>
        </w:rPr>
        <w:t xml:space="preserve"> obtenidos a partir de 4 ml de cultivo bacteriano</w:t>
      </w:r>
      <w:r w:rsidRPr="009F3EB8">
        <w:rPr>
          <w:rFonts w:ascii="Arial" w:hAnsi="Arial" w:cs="Arial"/>
          <w:sz w:val="24"/>
          <w:szCs w:val="24"/>
        </w:rPr>
        <w:t xml:space="preserve"> se mezclaron con regulador de muestra</w:t>
      </w:r>
      <w:r w:rsidR="00B60099" w:rsidRPr="009F3EB8">
        <w:rPr>
          <w:rFonts w:ascii="Arial" w:hAnsi="Arial" w:cs="Arial"/>
          <w:sz w:val="24"/>
          <w:szCs w:val="24"/>
        </w:rPr>
        <w:t xml:space="preserve"> </w:t>
      </w:r>
      <w:r w:rsidRPr="009F3EB8">
        <w:rPr>
          <w:rFonts w:ascii="Arial" w:hAnsi="Arial" w:cs="Arial"/>
          <w:sz w:val="24"/>
          <w:szCs w:val="24"/>
        </w:rPr>
        <w:t xml:space="preserve">(0,5 M Tris-HCl, 1% de 2-mercaptoetanol, 10% de glicerol, 1% de SDS y Cristales de azul de bromofenol) </w:t>
      </w:r>
      <w:r w:rsidR="00B60099" w:rsidRPr="009F3EB8">
        <w:rPr>
          <w:rFonts w:ascii="Arial" w:hAnsi="Arial" w:cs="Arial"/>
          <w:sz w:val="24"/>
          <w:szCs w:val="24"/>
        </w:rPr>
        <w:t xml:space="preserve">y se desnaturalizaron </w:t>
      </w:r>
      <w:r w:rsidRPr="009F3EB8">
        <w:rPr>
          <w:rFonts w:ascii="Arial" w:hAnsi="Arial" w:cs="Arial"/>
          <w:sz w:val="24"/>
          <w:szCs w:val="24"/>
        </w:rPr>
        <w:t xml:space="preserve">en baño de agua a </w:t>
      </w:r>
      <w:r w:rsidR="00B60099" w:rsidRPr="009F3EB8">
        <w:rPr>
          <w:rFonts w:ascii="Arial" w:hAnsi="Arial" w:cs="Arial"/>
          <w:sz w:val="24"/>
          <w:szCs w:val="24"/>
        </w:rPr>
        <w:t xml:space="preserve">ebullición durante 15 min. Las proteínas de </w:t>
      </w:r>
      <w:r w:rsidR="00B60099" w:rsidRPr="009F3EB8">
        <w:rPr>
          <w:rFonts w:ascii="Arial" w:hAnsi="Arial" w:cs="Arial"/>
          <w:i/>
          <w:sz w:val="24"/>
          <w:szCs w:val="24"/>
        </w:rPr>
        <w:t>Salmonella typhimurium</w:t>
      </w:r>
      <w:r w:rsidR="00B60099" w:rsidRPr="009F3EB8">
        <w:rPr>
          <w:rFonts w:ascii="Arial" w:hAnsi="Arial" w:cs="Arial"/>
          <w:sz w:val="24"/>
          <w:szCs w:val="24"/>
        </w:rPr>
        <w:t xml:space="preserve"> se separaron mediante SDS-PAGE al 12% </w:t>
      </w:r>
      <w:r w:rsidRPr="009F3EB8">
        <w:rPr>
          <w:rFonts w:ascii="Arial" w:hAnsi="Arial" w:cs="Arial"/>
          <w:sz w:val="24"/>
          <w:szCs w:val="24"/>
        </w:rPr>
        <w:t>en</w:t>
      </w:r>
      <w:r w:rsidR="00B60099" w:rsidRPr="009F3EB8">
        <w:rPr>
          <w:rFonts w:ascii="Arial" w:hAnsi="Arial" w:cs="Arial"/>
          <w:sz w:val="24"/>
          <w:szCs w:val="24"/>
        </w:rPr>
        <w:t xml:space="preserve"> condiciones reductoras. Después </w:t>
      </w:r>
      <w:r w:rsidRPr="009F3EB8">
        <w:rPr>
          <w:rFonts w:ascii="Arial" w:hAnsi="Arial" w:cs="Arial"/>
          <w:sz w:val="24"/>
          <w:szCs w:val="24"/>
        </w:rPr>
        <w:t xml:space="preserve">del corrimiento, el gel </w:t>
      </w:r>
      <w:r w:rsidR="00B60099" w:rsidRPr="009F3EB8">
        <w:rPr>
          <w:rFonts w:ascii="Arial" w:hAnsi="Arial" w:cs="Arial"/>
          <w:sz w:val="24"/>
          <w:szCs w:val="24"/>
        </w:rPr>
        <w:t xml:space="preserve">se </w:t>
      </w:r>
      <w:r w:rsidR="00980DE5" w:rsidRPr="009F3EB8">
        <w:rPr>
          <w:rFonts w:ascii="Arial" w:hAnsi="Arial" w:cs="Arial"/>
          <w:sz w:val="24"/>
          <w:szCs w:val="24"/>
        </w:rPr>
        <w:t>tiñó</w:t>
      </w:r>
      <w:r w:rsidR="00B60099" w:rsidRPr="009F3EB8">
        <w:rPr>
          <w:rFonts w:ascii="Arial" w:hAnsi="Arial" w:cs="Arial"/>
          <w:sz w:val="24"/>
          <w:szCs w:val="24"/>
        </w:rPr>
        <w:t xml:space="preserve"> con azul de Coomassie al 0</w:t>
      </w:r>
      <w:r w:rsidRPr="009F3EB8">
        <w:rPr>
          <w:rFonts w:ascii="Arial" w:hAnsi="Arial" w:cs="Arial"/>
          <w:sz w:val="24"/>
          <w:szCs w:val="24"/>
        </w:rPr>
        <w:t>.</w:t>
      </w:r>
      <w:r w:rsidR="00B60099" w:rsidRPr="009F3EB8">
        <w:rPr>
          <w:rFonts w:ascii="Arial" w:hAnsi="Arial" w:cs="Arial"/>
          <w:sz w:val="24"/>
          <w:szCs w:val="24"/>
        </w:rPr>
        <w:t xml:space="preserve">125% </w:t>
      </w:r>
      <w:r w:rsidR="005A4B2B" w:rsidRPr="009F3EB8">
        <w:rPr>
          <w:rFonts w:ascii="Arial" w:hAnsi="Arial" w:cs="Arial"/>
          <w:sz w:val="24"/>
          <w:szCs w:val="24"/>
        </w:rPr>
        <w:t>e</w:t>
      </w:r>
      <w:r w:rsidR="00B60099" w:rsidRPr="009F3EB8">
        <w:rPr>
          <w:rFonts w:ascii="Arial" w:hAnsi="Arial" w:cs="Arial"/>
          <w:sz w:val="24"/>
          <w:szCs w:val="24"/>
        </w:rPr>
        <w:t>n metanol: ácido acético</w:t>
      </w:r>
      <w:r w:rsidR="005A4B2B" w:rsidRPr="009F3EB8">
        <w:rPr>
          <w:rFonts w:ascii="Arial" w:hAnsi="Arial" w:cs="Arial"/>
          <w:sz w:val="24"/>
          <w:szCs w:val="24"/>
        </w:rPr>
        <w:t>:</w:t>
      </w:r>
      <w:r w:rsidR="00980DE5" w:rsidRPr="009F3EB8">
        <w:rPr>
          <w:rFonts w:ascii="Arial" w:hAnsi="Arial" w:cs="Arial"/>
          <w:sz w:val="24"/>
          <w:szCs w:val="24"/>
        </w:rPr>
        <w:t xml:space="preserve"> agua (5: 1: 2</w:t>
      </w:r>
      <w:r w:rsidRPr="009F3EB8">
        <w:rPr>
          <w:rFonts w:ascii="Arial" w:hAnsi="Arial" w:cs="Arial"/>
          <w:sz w:val="24"/>
          <w:szCs w:val="24"/>
        </w:rPr>
        <w:t>.</w:t>
      </w:r>
      <w:r w:rsidR="00980DE5" w:rsidRPr="009F3EB8">
        <w:rPr>
          <w:rFonts w:ascii="Arial" w:hAnsi="Arial" w:cs="Arial"/>
          <w:sz w:val="24"/>
          <w:szCs w:val="24"/>
        </w:rPr>
        <w:t xml:space="preserve">75) y se </w:t>
      </w:r>
      <w:r w:rsidRPr="009F3EB8">
        <w:rPr>
          <w:rFonts w:ascii="Arial" w:hAnsi="Arial" w:cs="Arial"/>
          <w:sz w:val="24"/>
          <w:szCs w:val="24"/>
        </w:rPr>
        <w:t xml:space="preserve">decoloró </w:t>
      </w:r>
      <w:r w:rsidR="005A4B2B" w:rsidRPr="009F3EB8">
        <w:rPr>
          <w:rFonts w:ascii="Arial" w:hAnsi="Arial" w:cs="Arial"/>
          <w:sz w:val="24"/>
          <w:szCs w:val="24"/>
        </w:rPr>
        <w:t xml:space="preserve">con metanol:agua: ácido acético. </w:t>
      </w:r>
      <w:r w:rsidRPr="009F3EB8">
        <w:rPr>
          <w:rFonts w:ascii="Arial" w:hAnsi="Arial" w:cs="Arial"/>
          <w:sz w:val="24"/>
          <w:szCs w:val="24"/>
        </w:rPr>
        <w:t xml:space="preserve">La banda correspondiente a la p30 se localizó con ayuda de marcadores de peso molecular y </w:t>
      </w:r>
      <w:r w:rsidR="00B60099" w:rsidRPr="009F3EB8">
        <w:rPr>
          <w:rFonts w:ascii="Arial" w:hAnsi="Arial" w:cs="Arial"/>
          <w:sz w:val="24"/>
          <w:szCs w:val="24"/>
        </w:rPr>
        <w:t>se cort</w:t>
      </w:r>
      <w:r w:rsidR="00980DE5" w:rsidRPr="009F3EB8">
        <w:rPr>
          <w:rFonts w:ascii="Arial" w:hAnsi="Arial" w:cs="Arial"/>
          <w:sz w:val="24"/>
          <w:szCs w:val="24"/>
        </w:rPr>
        <w:t>ó</w:t>
      </w:r>
      <w:r w:rsidRPr="009F3EB8">
        <w:rPr>
          <w:rFonts w:ascii="Arial" w:hAnsi="Arial" w:cs="Arial"/>
          <w:sz w:val="24"/>
          <w:szCs w:val="24"/>
        </w:rPr>
        <w:t xml:space="preserve">, para ser electroeluida </w:t>
      </w:r>
      <w:r w:rsidR="00BF7BC2" w:rsidRPr="009F3EB8">
        <w:rPr>
          <w:rFonts w:ascii="Arial" w:hAnsi="Arial" w:cs="Arial"/>
          <w:sz w:val="24"/>
          <w:szCs w:val="24"/>
        </w:rPr>
        <w:t xml:space="preserve">utilizando el sistema mino-protean II (Bio-rad®). Una vez </w:t>
      </w:r>
      <w:r w:rsidR="00AE0CC2" w:rsidRPr="009F3EB8">
        <w:rPr>
          <w:rFonts w:ascii="Arial" w:hAnsi="Arial" w:cs="Arial"/>
          <w:sz w:val="24"/>
          <w:szCs w:val="24"/>
        </w:rPr>
        <w:t>obtenida</w:t>
      </w:r>
      <w:r w:rsidR="00BF7BC2" w:rsidRPr="009F3EB8">
        <w:rPr>
          <w:rFonts w:ascii="Arial" w:hAnsi="Arial" w:cs="Arial"/>
          <w:sz w:val="24"/>
          <w:szCs w:val="24"/>
        </w:rPr>
        <w:t xml:space="preserve">, la p30 de concentró </w:t>
      </w:r>
      <w:r w:rsidR="005A4B2B" w:rsidRPr="009F3EB8">
        <w:rPr>
          <w:rFonts w:ascii="Arial" w:hAnsi="Arial" w:cs="Arial"/>
          <w:sz w:val="24"/>
          <w:szCs w:val="24"/>
        </w:rPr>
        <w:t xml:space="preserve"> </w:t>
      </w:r>
      <w:r w:rsidR="004A3960" w:rsidRPr="009F3EB8">
        <w:rPr>
          <w:rFonts w:ascii="Arial" w:hAnsi="Arial" w:cs="Arial"/>
          <w:sz w:val="24"/>
          <w:szCs w:val="24"/>
        </w:rPr>
        <w:t xml:space="preserve">y </w:t>
      </w:r>
      <w:r w:rsidR="00BF7BC2" w:rsidRPr="009F3EB8">
        <w:rPr>
          <w:rFonts w:ascii="Arial" w:hAnsi="Arial" w:cs="Arial"/>
          <w:sz w:val="24"/>
          <w:szCs w:val="24"/>
        </w:rPr>
        <w:t>dializó</w:t>
      </w:r>
      <w:r w:rsidR="004A3960" w:rsidRPr="009F3EB8">
        <w:rPr>
          <w:rFonts w:ascii="Arial" w:hAnsi="Arial" w:cs="Arial"/>
          <w:sz w:val="24"/>
          <w:szCs w:val="24"/>
        </w:rPr>
        <w:t>, utilizando el sistema SPIN-X UF</w:t>
      </w:r>
      <w:r w:rsidR="00980DE5" w:rsidRPr="009F3EB8">
        <w:rPr>
          <w:rFonts w:ascii="Arial" w:hAnsi="Arial" w:cs="Arial"/>
          <w:sz w:val="24"/>
          <w:szCs w:val="24"/>
        </w:rPr>
        <w:t xml:space="preserve">. El análisis de la electroelución de </w:t>
      </w:r>
      <w:r w:rsidR="00B60099" w:rsidRPr="009F3EB8">
        <w:rPr>
          <w:rFonts w:ascii="Arial" w:hAnsi="Arial" w:cs="Arial"/>
          <w:sz w:val="24"/>
          <w:szCs w:val="24"/>
        </w:rPr>
        <w:t>la p30 s</w:t>
      </w:r>
      <w:r w:rsidR="005A4B2B" w:rsidRPr="009F3EB8">
        <w:rPr>
          <w:rFonts w:ascii="Arial" w:hAnsi="Arial" w:cs="Arial"/>
          <w:sz w:val="24"/>
          <w:szCs w:val="24"/>
        </w:rPr>
        <w:t>e realizó mediante SDS-PAGE-ME</w:t>
      </w:r>
      <w:r w:rsidR="00ED4B34" w:rsidRPr="009F3EB8">
        <w:rPr>
          <w:rFonts w:ascii="Arial" w:hAnsi="Arial" w:cs="Arial"/>
          <w:sz w:val="24"/>
          <w:szCs w:val="24"/>
        </w:rPr>
        <w:t xml:space="preserve"> (10</w:t>
      </w:r>
      <w:r w:rsidR="004A3960" w:rsidRPr="009F3EB8">
        <w:rPr>
          <w:rFonts w:ascii="Arial" w:hAnsi="Arial" w:cs="Arial"/>
          <w:sz w:val="24"/>
          <w:szCs w:val="24"/>
        </w:rPr>
        <w:t>)</w:t>
      </w:r>
      <w:r w:rsidR="005A4B2B" w:rsidRPr="009F3EB8">
        <w:rPr>
          <w:rFonts w:ascii="Arial" w:hAnsi="Arial" w:cs="Arial"/>
          <w:sz w:val="24"/>
          <w:szCs w:val="24"/>
        </w:rPr>
        <w:t>.</w:t>
      </w:r>
    </w:p>
    <w:p w14:paraId="10D5AD52" w14:textId="77777777" w:rsidR="009F3EB8" w:rsidRPr="009F3EB8" w:rsidRDefault="003152C9" w:rsidP="009F3EB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F3EB8">
        <w:rPr>
          <w:rFonts w:ascii="Arial" w:hAnsi="Arial" w:cs="Arial"/>
          <w:b/>
          <w:bCs/>
          <w:sz w:val="24"/>
          <w:szCs w:val="24"/>
        </w:rPr>
        <w:t>5.2.3</w:t>
      </w:r>
      <w:r w:rsidR="1C93C37E" w:rsidRPr="009F3EB8">
        <w:rPr>
          <w:rFonts w:ascii="Arial" w:hAnsi="Arial" w:cs="Arial"/>
          <w:b/>
          <w:bCs/>
          <w:sz w:val="24"/>
          <w:szCs w:val="24"/>
        </w:rPr>
        <w:t xml:space="preserve"> </w:t>
      </w:r>
      <w:r w:rsidR="00EF4315" w:rsidRPr="009F3EB8">
        <w:rPr>
          <w:rFonts w:ascii="Arial" w:hAnsi="Arial" w:cs="Arial"/>
          <w:b/>
          <w:bCs/>
          <w:sz w:val="24"/>
          <w:szCs w:val="24"/>
        </w:rPr>
        <w:t xml:space="preserve">Separación de neutrófilos </w:t>
      </w:r>
    </w:p>
    <w:p w14:paraId="621D46CD" w14:textId="14390B2B" w:rsidR="009F3EB8" w:rsidRPr="009F3EB8" w:rsidRDefault="00EF4315" w:rsidP="009F3EB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F3EB8">
        <w:rPr>
          <w:rFonts w:ascii="Arial" w:hAnsi="Arial" w:cs="Arial"/>
          <w:sz w:val="24"/>
          <w:szCs w:val="24"/>
        </w:rPr>
        <w:t>Se obt</w:t>
      </w:r>
      <w:r w:rsidR="00980DE5" w:rsidRPr="009F3EB8">
        <w:rPr>
          <w:rFonts w:ascii="Arial" w:hAnsi="Arial" w:cs="Arial"/>
          <w:sz w:val="24"/>
          <w:szCs w:val="24"/>
        </w:rPr>
        <w:t>uviero</w:t>
      </w:r>
      <w:r w:rsidRPr="009F3EB8">
        <w:rPr>
          <w:rFonts w:ascii="Arial" w:hAnsi="Arial" w:cs="Arial"/>
          <w:sz w:val="24"/>
          <w:szCs w:val="24"/>
        </w:rPr>
        <w:t xml:space="preserve">n neutrófilos de sangre periférica mediante un gradiente de densidad. </w:t>
      </w:r>
      <w:r w:rsidR="008B3B74">
        <w:rPr>
          <w:rFonts w:ascii="Arial" w:hAnsi="Arial" w:cs="Arial"/>
          <w:sz w:val="24"/>
          <w:szCs w:val="24"/>
        </w:rPr>
        <w:t>E</w:t>
      </w:r>
      <w:r w:rsidRPr="009F3EB8">
        <w:rPr>
          <w:rFonts w:ascii="Arial" w:hAnsi="Arial" w:cs="Arial"/>
          <w:sz w:val="24"/>
          <w:szCs w:val="24"/>
        </w:rPr>
        <w:t>n un tu</w:t>
      </w:r>
      <w:r w:rsidR="00980DE5" w:rsidRPr="009F3EB8">
        <w:rPr>
          <w:rFonts w:ascii="Arial" w:hAnsi="Arial" w:cs="Arial"/>
          <w:sz w:val="24"/>
          <w:szCs w:val="24"/>
        </w:rPr>
        <w:t>bo cónico de 15 mL se adicionaro</w:t>
      </w:r>
      <w:r w:rsidRPr="009F3EB8">
        <w:rPr>
          <w:rFonts w:ascii="Arial" w:hAnsi="Arial" w:cs="Arial"/>
          <w:sz w:val="24"/>
          <w:szCs w:val="24"/>
        </w:rPr>
        <w:t xml:space="preserve">n 3 mL de Ficoll Histopaque 1119, </w:t>
      </w:r>
      <w:r w:rsidR="007B6741" w:rsidRPr="009F3EB8">
        <w:rPr>
          <w:rFonts w:ascii="Arial" w:hAnsi="Arial" w:cs="Arial"/>
          <w:sz w:val="24"/>
          <w:szCs w:val="24"/>
        </w:rPr>
        <w:t xml:space="preserve">se </w:t>
      </w:r>
      <w:r w:rsidR="00AE0CC2" w:rsidRPr="009F3EB8">
        <w:rPr>
          <w:rFonts w:ascii="Arial" w:hAnsi="Arial" w:cs="Arial"/>
          <w:sz w:val="24"/>
          <w:szCs w:val="24"/>
        </w:rPr>
        <w:t xml:space="preserve">estratificaron </w:t>
      </w:r>
      <w:r w:rsidR="00980DE5" w:rsidRPr="009F3EB8">
        <w:rPr>
          <w:rFonts w:ascii="Arial" w:hAnsi="Arial" w:cs="Arial"/>
          <w:sz w:val="24"/>
          <w:szCs w:val="24"/>
        </w:rPr>
        <w:t xml:space="preserve">3 mL de Ficoll Histopaque 1077. sobre </w:t>
      </w:r>
      <w:r w:rsidR="00AE0CC2" w:rsidRPr="009F3EB8">
        <w:rPr>
          <w:rFonts w:ascii="Arial" w:hAnsi="Arial" w:cs="Arial"/>
          <w:sz w:val="24"/>
          <w:szCs w:val="24"/>
        </w:rPr>
        <w:t>este último</w:t>
      </w:r>
      <w:r w:rsidR="00980DE5" w:rsidRPr="009F3EB8">
        <w:rPr>
          <w:rFonts w:ascii="Arial" w:hAnsi="Arial" w:cs="Arial"/>
          <w:sz w:val="24"/>
          <w:szCs w:val="24"/>
        </w:rPr>
        <w:t>, se colocaron</w:t>
      </w:r>
      <w:r w:rsidR="007B6741" w:rsidRPr="009F3EB8">
        <w:rPr>
          <w:rFonts w:ascii="Arial" w:hAnsi="Arial" w:cs="Arial"/>
          <w:sz w:val="24"/>
          <w:szCs w:val="24"/>
        </w:rPr>
        <w:t xml:space="preserve"> 6 </w:t>
      </w:r>
      <w:r w:rsidR="007B6741" w:rsidRPr="009F3EB8">
        <w:rPr>
          <w:rFonts w:ascii="Arial" w:hAnsi="Arial" w:cs="Arial"/>
          <w:sz w:val="24"/>
          <w:szCs w:val="24"/>
        </w:rPr>
        <w:lastRenderedPageBreak/>
        <w:t>mL</w:t>
      </w:r>
      <w:r w:rsidR="00980DE5" w:rsidRPr="009F3EB8">
        <w:rPr>
          <w:rFonts w:ascii="Arial" w:hAnsi="Arial" w:cs="Arial"/>
          <w:sz w:val="24"/>
          <w:szCs w:val="24"/>
        </w:rPr>
        <w:t xml:space="preserve"> de sangre total y se centrifugó durante 30 minutos a 700</w:t>
      </w:r>
      <w:r w:rsidR="00AE0CC2" w:rsidRPr="009F3EB8">
        <w:rPr>
          <w:rFonts w:ascii="Arial" w:hAnsi="Arial" w:cs="Arial"/>
          <w:sz w:val="24"/>
          <w:szCs w:val="24"/>
        </w:rPr>
        <w:t>x</w:t>
      </w:r>
      <w:r w:rsidR="00980DE5" w:rsidRPr="009F3EB8">
        <w:rPr>
          <w:rFonts w:ascii="Arial" w:hAnsi="Arial" w:cs="Arial"/>
          <w:sz w:val="24"/>
          <w:szCs w:val="24"/>
        </w:rPr>
        <w:t>g. T</w:t>
      </w:r>
      <w:r w:rsidR="007B6741" w:rsidRPr="009F3EB8">
        <w:rPr>
          <w:rFonts w:ascii="Arial" w:hAnsi="Arial" w:cs="Arial"/>
          <w:sz w:val="24"/>
          <w:szCs w:val="24"/>
        </w:rPr>
        <w:t>erminado el tiem</w:t>
      </w:r>
      <w:r w:rsidR="00980DE5" w:rsidRPr="009F3EB8">
        <w:rPr>
          <w:rFonts w:ascii="Arial" w:hAnsi="Arial" w:cs="Arial"/>
          <w:sz w:val="24"/>
          <w:szCs w:val="24"/>
        </w:rPr>
        <w:t>po de centrifugación se recuperó</w:t>
      </w:r>
      <w:r w:rsidR="007B6741" w:rsidRPr="009F3EB8">
        <w:rPr>
          <w:rFonts w:ascii="Arial" w:hAnsi="Arial" w:cs="Arial"/>
          <w:sz w:val="24"/>
          <w:szCs w:val="24"/>
        </w:rPr>
        <w:t xml:space="preserve"> el anillo celular que c</w:t>
      </w:r>
      <w:r w:rsidR="00980DE5" w:rsidRPr="009F3EB8">
        <w:rPr>
          <w:rFonts w:ascii="Arial" w:hAnsi="Arial" w:cs="Arial"/>
          <w:sz w:val="24"/>
          <w:szCs w:val="24"/>
        </w:rPr>
        <w:t>ontiene los polimorfonucleare</w:t>
      </w:r>
      <w:r w:rsidR="00AE0CC2" w:rsidRPr="009F3EB8">
        <w:rPr>
          <w:rFonts w:ascii="Arial" w:hAnsi="Arial" w:cs="Arial"/>
          <w:sz w:val="24"/>
          <w:szCs w:val="24"/>
        </w:rPr>
        <w:t>s</w:t>
      </w:r>
      <w:r w:rsidR="00980DE5" w:rsidRPr="009F3EB8">
        <w:rPr>
          <w:rFonts w:ascii="Arial" w:hAnsi="Arial" w:cs="Arial"/>
          <w:sz w:val="24"/>
          <w:szCs w:val="24"/>
        </w:rPr>
        <w:t xml:space="preserve"> y</w:t>
      </w:r>
      <w:r w:rsidR="007B6741" w:rsidRPr="009F3EB8">
        <w:rPr>
          <w:rFonts w:ascii="Arial" w:hAnsi="Arial" w:cs="Arial"/>
          <w:sz w:val="24"/>
          <w:szCs w:val="24"/>
        </w:rPr>
        <w:t xml:space="preserve"> se </w:t>
      </w:r>
      <w:r w:rsidR="008B3B74">
        <w:rPr>
          <w:rFonts w:ascii="Arial" w:hAnsi="Arial" w:cs="Arial"/>
          <w:sz w:val="24"/>
          <w:szCs w:val="24"/>
        </w:rPr>
        <w:t>realizaron 2 lavados</w:t>
      </w:r>
      <w:r w:rsidR="00980DE5" w:rsidRPr="009F3EB8">
        <w:rPr>
          <w:rFonts w:ascii="Arial" w:hAnsi="Arial" w:cs="Arial"/>
          <w:sz w:val="24"/>
          <w:szCs w:val="24"/>
        </w:rPr>
        <w:t>. D</w:t>
      </w:r>
      <w:r w:rsidR="007B6741" w:rsidRPr="009F3EB8">
        <w:rPr>
          <w:rFonts w:ascii="Arial" w:hAnsi="Arial" w:cs="Arial"/>
          <w:sz w:val="24"/>
          <w:szCs w:val="24"/>
        </w:rPr>
        <w:t xml:space="preserve">espués </w:t>
      </w:r>
      <w:r w:rsidR="00980DE5" w:rsidRPr="009F3EB8">
        <w:rPr>
          <w:rFonts w:ascii="Arial" w:hAnsi="Arial" w:cs="Arial"/>
          <w:sz w:val="24"/>
          <w:szCs w:val="24"/>
        </w:rPr>
        <w:t>del último lavado, se resuspendió</w:t>
      </w:r>
      <w:r w:rsidR="007B6741" w:rsidRPr="009F3EB8">
        <w:rPr>
          <w:rFonts w:ascii="Arial" w:hAnsi="Arial" w:cs="Arial"/>
          <w:sz w:val="24"/>
          <w:szCs w:val="24"/>
        </w:rPr>
        <w:t xml:space="preserve"> el botó</w:t>
      </w:r>
      <w:r w:rsidR="00980DE5" w:rsidRPr="009F3EB8">
        <w:rPr>
          <w:rFonts w:ascii="Arial" w:hAnsi="Arial" w:cs="Arial"/>
          <w:sz w:val="24"/>
          <w:szCs w:val="24"/>
        </w:rPr>
        <w:t>n celular en 1 mL de medio RPMI. E</w:t>
      </w:r>
      <w:r w:rsidR="007B6741" w:rsidRPr="009F3EB8">
        <w:rPr>
          <w:rFonts w:ascii="Arial" w:hAnsi="Arial" w:cs="Arial"/>
          <w:sz w:val="24"/>
          <w:szCs w:val="24"/>
        </w:rPr>
        <w:t xml:space="preserve">l conteo y viabilidad celular </w:t>
      </w:r>
      <w:r w:rsidR="00980DE5" w:rsidRPr="009F3EB8">
        <w:rPr>
          <w:rFonts w:ascii="Arial" w:hAnsi="Arial" w:cs="Arial"/>
          <w:sz w:val="24"/>
          <w:szCs w:val="24"/>
        </w:rPr>
        <w:t xml:space="preserve">se realizó </w:t>
      </w:r>
      <w:r w:rsidR="007B6741" w:rsidRPr="009F3EB8">
        <w:rPr>
          <w:rFonts w:ascii="Arial" w:hAnsi="Arial" w:cs="Arial"/>
          <w:sz w:val="24"/>
          <w:szCs w:val="24"/>
        </w:rPr>
        <w:t>en cámara de Neubauer</w:t>
      </w:r>
      <w:r w:rsidR="00980DE5" w:rsidRPr="009F3EB8">
        <w:rPr>
          <w:rFonts w:ascii="Arial" w:hAnsi="Arial" w:cs="Arial"/>
          <w:sz w:val="24"/>
          <w:szCs w:val="24"/>
        </w:rPr>
        <w:t xml:space="preserve"> con azul de tripan.</w:t>
      </w:r>
    </w:p>
    <w:p w14:paraId="2824CA2E" w14:textId="77777777" w:rsidR="009F3EB8" w:rsidRPr="009F3EB8" w:rsidRDefault="75F9839D" w:rsidP="009F3EB8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F3EB8">
        <w:rPr>
          <w:rFonts w:ascii="Arial" w:hAnsi="Arial" w:cs="Arial"/>
          <w:b/>
          <w:bCs/>
          <w:sz w:val="24"/>
          <w:szCs w:val="24"/>
        </w:rPr>
        <w:t>5.2.5</w:t>
      </w:r>
      <w:r w:rsidR="2872DF7C" w:rsidRPr="009F3EB8">
        <w:rPr>
          <w:rFonts w:ascii="Arial" w:hAnsi="Arial" w:cs="Arial"/>
          <w:b/>
          <w:bCs/>
          <w:sz w:val="24"/>
          <w:szCs w:val="24"/>
        </w:rPr>
        <w:t xml:space="preserve"> </w:t>
      </w:r>
      <w:r w:rsidR="00EF4315" w:rsidRPr="009F3EB8">
        <w:rPr>
          <w:rFonts w:ascii="Arial" w:hAnsi="Arial" w:cs="Arial"/>
          <w:b/>
          <w:bCs/>
          <w:sz w:val="24"/>
          <w:szCs w:val="24"/>
        </w:rPr>
        <w:t xml:space="preserve">Inducción y cuantificación de NETs </w:t>
      </w:r>
    </w:p>
    <w:p w14:paraId="42B2795B" w14:textId="51D7A84F" w:rsidR="0067581D" w:rsidRPr="009F3EB8" w:rsidRDefault="00EF4315" w:rsidP="009F3EB8">
      <w:pPr>
        <w:spacing w:before="100" w:beforeAutospacing="1" w:after="100" w:afterAutospacing="1" w:line="36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F3EB8">
        <w:rPr>
          <w:rFonts w:ascii="Arial" w:hAnsi="Arial" w:cs="Arial"/>
          <w:sz w:val="24"/>
          <w:szCs w:val="24"/>
        </w:rPr>
        <w:t>La inducción de liberación de trampas extracelulares de neutr</w:t>
      </w:r>
      <w:r w:rsidR="00980DE5" w:rsidRPr="009F3EB8">
        <w:rPr>
          <w:rFonts w:ascii="Arial" w:hAnsi="Arial" w:cs="Arial"/>
          <w:sz w:val="24"/>
          <w:szCs w:val="24"/>
        </w:rPr>
        <w:t>ófilos se llevó</w:t>
      </w:r>
      <w:r w:rsidRPr="009F3EB8">
        <w:rPr>
          <w:rFonts w:ascii="Arial" w:hAnsi="Arial" w:cs="Arial"/>
          <w:sz w:val="24"/>
          <w:szCs w:val="24"/>
        </w:rPr>
        <w:t xml:space="preserve"> a cabo utilizando Forbol 12-Miristato 13-Acetato (PMA por sus siglas en ingles) como control positivo, así como los diferentes retos bacterianos a evaluar (</w:t>
      </w:r>
      <w:r w:rsidR="003152C9" w:rsidRPr="009F3EB8">
        <w:rPr>
          <w:rFonts w:ascii="Arial" w:hAnsi="Arial" w:cs="Arial"/>
          <w:sz w:val="24"/>
          <w:szCs w:val="24"/>
        </w:rPr>
        <w:t>p30</w:t>
      </w:r>
      <w:r w:rsidRPr="009F3EB8">
        <w:rPr>
          <w:rFonts w:ascii="Arial" w:hAnsi="Arial" w:cs="Arial"/>
          <w:sz w:val="24"/>
          <w:szCs w:val="24"/>
        </w:rPr>
        <w:t xml:space="preserve"> de </w:t>
      </w:r>
      <w:r w:rsidRPr="009F3EB8">
        <w:rPr>
          <w:rFonts w:ascii="Arial" w:hAnsi="Arial" w:cs="Arial"/>
          <w:i/>
          <w:sz w:val="24"/>
          <w:szCs w:val="24"/>
        </w:rPr>
        <w:t xml:space="preserve">S. </w:t>
      </w:r>
      <w:r w:rsidR="000742A2" w:rsidRPr="009F3EB8">
        <w:rPr>
          <w:rFonts w:ascii="Arial" w:hAnsi="Arial" w:cs="Arial"/>
          <w:i/>
          <w:sz w:val="24"/>
          <w:szCs w:val="24"/>
        </w:rPr>
        <w:t>typhimurium</w:t>
      </w:r>
      <w:r w:rsidR="003152C9" w:rsidRPr="009F3EB8">
        <w:rPr>
          <w:rFonts w:ascii="Arial" w:hAnsi="Arial" w:cs="Arial"/>
          <w:sz w:val="24"/>
          <w:szCs w:val="24"/>
        </w:rPr>
        <w:t xml:space="preserve">, p30 de </w:t>
      </w:r>
      <w:r w:rsidR="003152C9" w:rsidRPr="009F3EB8">
        <w:rPr>
          <w:rFonts w:ascii="Arial" w:hAnsi="Arial" w:cs="Arial"/>
          <w:i/>
          <w:sz w:val="24"/>
          <w:szCs w:val="24"/>
        </w:rPr>
        <w:t xml:space="preserve">S. </w:t>
      </w:r>
      <w:r w:rsidR="000742A2" w:rsidRPr="009F3EB8">
        <w:rPr>
          <w:rFonts w:ascii="Arial" w:hAnsi="Arial" w:cs="Arial"/>
          <w:i/>
          <w:sz w:val="24"/>
          <w:szCs w:val="24"/>
        </w:rPr>
        <w:t>typhimurium</w:t>
      </w:r>
      <w:r w:rsidR="000742A2" w:rsidRPr="009F3EB8">
        <w:rPr>
          <w:rFonts w:ascii="Arial" w:hAnsi="Arial" w:cs="Arial"/>
          <w:sz w:val="24"/>
          <w:szCs w:val="24"/>
        </w:rPr>
        <w:t xml:space="preserve"> </w:t>
      </w:r>
      <w:r w:rsidR="00980DE5" w:rsidRPr="009F3EB8">
        <w:rPr>
          <w:rFonts w:ascii="Arial" w:hAnsi="Arial" w:cs="Arial"/>
          <w:sz w:val="24"/>
          <w:szCs w:val="24"/>
        </w:rPr>
        <w:t>combinada</w:t>
      </w:r>
      <w:r w:rsidR="003152C9" w:rsidRPr="009F3EB8">
        <w:rPr>
          <w:rFonts w:ascii="Arial" w:hAnsi="Arial" w:cs="Arial"/>
          <w:sz w:val="24"/>
          <w:szCs w:val="24"/>
        </w:rPr>
        <w:t xml:space="preserve"> con suero de pacientes con EA, p30 de </w:t>
      </w:r>
      <w:r w:rsidR="003152C9" w:rsidRPr="009F3EB8">
        <w:rPr>
          <w:rFonts w:ascii="Arial" w:hAnsi="Arial" w:cs="Arial"/>
          <w:i/>
          <w:sz w:val="24"/>
          <w:szCs w:val="24"/>
        </w:rPr>
        <w:t xml:space="preserve">S. </w:t>
      </w:r>
      <w:r w:rsidR="000742A2" w:rsidRPr="009F3EB8">
        <w:rPr>
          <w:rFonts w:ascii="Arial" w:hAnsi="Arial" w:cs="Arial"/>
          <w:i/>
          <w:sz w:val="24"/>
          <w:szCs w:val="24"/>
        </w:rPr>
        <w:t>typhimurium</w:t>
      </w:r>
      <w:r w:rsidR="000742A2" w:rsidRPr="009F3EB8">
        <w:rPr>
          <w:rFonts w:ascii="Arial" w:hAnsi="Arial" w:cs="Arial"/>
          <w:sz w:val="24"/>
          <w:szCs w:val="24"/>
        </w:rPr>
        <w:t xml:space="preserve"> </w:t>
      </w:r>
      <w:r w:rsidR="00980DE5" w:rsidRPr="009F3EB8">
        <w:rPr>
          <w:rFonts w:ascii="Arial" w:hAnsi="Arial" w:cs="Arial"/>
          <w:sz w:val="24"/>
          <w:szCs w:val="24"/>
        </w:rPr>
        <w:t>combinada</w:t>
      </w:r>
      <w:r w:rsidR="003152C9" w:rsidRPr="009F3EB8">
        <w:rPr>
          <w:rFonts w:ascii="Arial" w:hAnsi="Arial" w:cs="Arial"/>
          <w:sz w:val="24"/>
          <w:szCs w:val="24"/>
        </w:rPr>
        <w:t xml:space="preserve"> con suero de sujetos sanos</w:t>
      </w:r>
      <w:r w:rsidRPr="009F3EB8">
        <w:rPr>
          <w:rFonts w:ascii="Arial" w:hAnsi="Arial" w:cs="Arial"/>
          <w:sz w:val="24"/>
          <w:szCs w:val="24"/>
        </w:rPr>
        <w:t>). Brevemente, en placas de seis pozos se coloca</w:t>
      </w:r>
      <w:r w:rsidR="00980DE5" w:rsidRPr="009F3EB8">
        <w:rPr>
          <w:rFonts w:ascii="Arial" w:hAnsi="Arial" w:cs="Arial"/>
          <w:sz w:val="24"/>
          <w:szCs w:val="24"/>
        </w:rPr>
        <w:t>ron</w:t>
      </w:r>
      <w:r w:rsidRPr="009F3EB8">
        <w:rPr>
          <w:rFonts w:ascii="Arial" w:hAnsi="Arial" w:cs="Arial"/>
          <w:sz w:val="24"/>
          <w:szCs w:val="24"/>
        </w:rPr>
        <w:t xml:space="preserve"> 5x10</w:t>
      </w:r>
      <w:r w:rsidRPr="009F3EB8">
        <w:rPr>
          <w:rFonts w:ascii="Arial" w:hAnsi="Arial" w:cs="Arial"/>
          <w:sz w:val="24"/>
          <w:szCs w:val="24"/>
          <w:vertAlign w:val="superscript"/>
        </w:rPr>
        <w:t>5</w:t>
      </w:r>
      <w:r w:rsidR="00980DE5" w:rsidRPr="009F3EB8">
        <w:rPr>
          <w:rFonts w:ascii="Arial" w:hAnsi="Arial" w:cs="Arial"/>
          <w:sz w:val="24"/>
          <w:szCs w:val="24"/>
        </w:rPr>
        <w:t xml:space="preserve"> PMNs en 1 mL de RPMI </w:t>
      </w:r>
      <w:r w:rsidRPr="009F3EB8">
        <w:rPr>
          <w:rFonts w:ascii="Arial" w:hAnsi="Arial" w:cs="Arial"/>
          <w:sz w:val="24"/>
          <w:szCs w:val="24"/>
        </w:rPr>
        <w:t>y se agrega</w:t>
      </w:r>
      <w:r w:rsidR="000742A2" w:rsidRPr="009F3EB8">
        <w:rPr>
          <w:rFonts w:ascii="Arial" w:hAnsi="Arial" w:cs="Arial"/>
          <w:sz w:val="24"/>
          <w:szCs w:val="24"/>
        </w:rPr>
        <w:t>ro</w:t>
      </w:r>
      <w:r w:rsidRPr="009F3EB8">
        <w:rPr>
          <w:rFonts w:ascii="Arial" w:hAnsi="Arial" w:cs="Arial"/>
          <w:sz w:val="24"/>
          <w:szCs w:val="24"/>
        </w:rPr>
        <w:t xml:space="preserve">n los inductores de NETs a evaluar, se </w:t>
      </w:r>
      <w:r w:rsidR="000742A2" w:rsidRPr="009F3EB8">
        <w:rPr>
          <w:rFonts w:ascii="Arial" w:hAnsi="Arial" w:cs="Arial"/>
          <w:sz w:val="24"/>
          <w:szCs w:val="24"/>
        </w:rPr>
        <w:t xml:space="preserve">incubó </w:t>
      </w:r>
      <w:r w:rsidRPr="009F3EB8">
        <w:rPr>
          <w:rFonts w:ascii="Arial" w:hAnsi="Arial" w:cs="Arial"/>
          <w:sz w:val="24"/>
          <w:szCs w:val="24"/>
        </w:rPr>
        <w:t>a 3</w:t>
      </w:r>
      <w:r w:rsidR="00CA0800" w:rsidRPr="009F3EB8">
        <w:rPr>
          <w:rFonts w:ascii="Arial" w:hAnsi="Arial" w:cs="Arial"/>
          <w:sz w:val="24"/>
          <w:szCs w:val="24"/>
        </w:rPr>
        <w:t>7°C y 5% de CO</w:t>
      </w:r>
      <w:r w:rsidR="00CA0800" w:rsidRPr="009F3EB8">
        <w:rPr>
          <w:rFonts w:ascii="Arial" w:hAnsi="Arial" w:cs="Arial"/>
          <w:sz w:val="24"/>
          <w:szCs w:val="24"/>
          <w:vertAlign w:val="subscript"/>
        </w:rPr>
        <w:t>2</w:t>
      </w:r>
      <w:r w:rsidR="00CA0800" w:rsidRPr="009F3EB8">
        <w:rPr>
          <w:rFonts w:ascii="Arial" w:hAnsi="Arial" w:cs="Arial"/>
          <w:sz w:val="24"/>
          <w:szCs w:val="24"/>
        </w:rPr>
        <w:t xml:space="preserve"> durante 4 horas. Las NETs se fijaron</w:t>
      </w:r>
      <w:r w:rsidRPr="009F3EB8">
        <w:rPr>
          <w:rFonts w:ascii="Arial" w:hAnsi="Arial" w:cs="Arial"/>
          <w:sz w:val="24"/>
          <w:szCs w:val="24"/>
        </w:rPr>
        <w:t xml:space="preserve"> </w:t>
      </w:r>
      <w:r w:rsidR="00310733">
        <w:rPr>
          <w:rFonts w:ascii="Arial" w:hAnsi="Arial" w:cs="Arial"/>
          <w:sz w:val="24"/>
          <w:szCs w:val="24"/>
        </w:rPr>
        <w:t xml:space="preserve">con </w:t>
      </w:r>
      <w:r w:rsidR="00CA0800" w:rsidRPr="009F3EB8">
        <w:rPr>
          <w:rFonts w:ascii="Arial" w:hAnsi="Arial" w:cs="Arial"/>
          <w:sz w:val="24"/>
          <w:szCs w:val="24"/>
        </w:rPr>
        <w:t xml:space="preserve">formaldehido al 4%. </w:t>
      </w:r>
      <w:r w:rsidR="009406CB" w:rsidRPr="009F3EB8">
        <w:rPr>
          <w:rFonts w:ascii="Arial" w:hAnsi="Arial" w:cs="Arial"/>
          <w:sz w:val="24"/>
          <w:szCs w:val="24"/>
        </w:rPr>
        <w:t xml:space="preserve">Se determinó la presencia de </w:t>
      </w:r>
      <w:r w:rsidRPr="009F3EB8">
        <w:rPr>
          <w:rFonts w:ascii="Arial" w:hAnsi="Arial" w:cs="Arial"/>
          <w:sz w:val="24"/>
          <w:szCs w:val="24"/>
        </w:rPr>
        <w:t>ADN</w:t>
      </w:r>
      <w:r w:rsidR="009406CB" w:rsidRPr="009F3EB8">
        <w:rPr>
          <w:rFonts w:ascii="Arial" w:hAnsi="Arial" w:cs="Arial"/>
          <w:sz w:val="24"/>
          <w:szCs w:val="24"/>
        </w:rPr>
        <w:t xml:space="preserve"> nuclear</w:t>
      </w:r>
      <w:r w:rsidRPr="009F3EB8">
        <w:rPr>
          <w:rFonts w:ascii="Arial" w:hAnsi="Arial" w:cs="Arial"/>
          <w:sz w:val="24"/>
          <w:szCs w:val="24"/>
        </w:rPr>
        <w:t xml:space="preserve">, </w:t>
      </w:r>
      <w:r w:rsidR="009406CB" w:rsidRPr="009F3EB8">
        <w:rPr>
          <w:rFonts w:ascii="Arial" w:hAnsi="Arial" w:cs="Arial"/>
          <w:sz w:val="24"/>
          <w:szCs w:val="24"/>
        </w:rPr>
        <w:t xml:space="preserve">con </w:t>
      </w:r>
      <w:r w:rsidRPr="009F3EB8">
        <w:rPr>
          <w:rFonts w:ascii="Arial" w:hAnsi="Arial" w:cs="Arial"/>
          <w:sz w:val="24"/>
          <w:szCs w:val="24"/>
        </w:rPr>
        <w:t xml:space="preserve">una solución </w:t>
      </w:r>
      <w:r w:rsidR="009406CB" w:rsidRPr="009F3EB8">
        <w:rPr>
          <w:rFonts w:ascii="Arial" w:hAnsi="Arial" w:cs="Arial"/>
          <w:sz w:val="24"/>
          <w:szCs w:val="24"/>
        </w:rPr>
        <w:t xml:space="preserve">de de 4',6-diamidino-2-fenilindol DAPI </w:t>
      </w:r>
      <w:r w:rsidRPr="009F3EB8">
        <w:rPr>
          <w:rFonts w:ascii="Arial" w:hAnsi="Arial" w:cs="Arial"/>
          <w:sz w:val="24"/>
          <w:szCs w:val="24"/>
        </w:rPr>
        <w:t>a 1 μg/</w:t>
      </w:r>
      <w:r w:rsidR="00FF240C" w:rsidRPr="009F3EB8">
        <w:rPr>
          <w:rFonts w:ascii="Arial" w:hAnsi="Arial" w:cs="Arial"/>
          <w:sz w:val="24"/>
          <w:szCs w:val="24"/>
        </w:rPr>
        <w:t>ml</w:t>
      </w:r>
      <w:r w:rsidRPr="009F3EB8">
        <w:rPr>
          <w:rFonts w:ascii="Arial" w:hAnsi="Arial" w:cs="Arial"/>
          <w:sz w:val="24"/>
          <w:szCs w:val="24"/>
        </w:rPr>
        <w:t>. Posteriormente, mediante inmunomarcaje se detect</w:t>
      </w:r>
      <w:r w:rsidR="00FF240C" w:rsidRPr="009F3EB8">
        <w:rPr>
          <w:rFonts w:ascii="Arial" w:hAnsi="Arial" w:cs="Arial"/>
          <w:sz w:val="24"/>
          <w:szCs w:val="24"/>
        </w:rPr>
        <w:t>ó</w:t>
      </w:r>
      <w:r w:rsidRPr="009F3EB8">
        <w:rPr>
          <w:rFonts w:ascii="Arial" w:hAnsi="Arial" w:cs="Arial"/>
          <w:sz w:val="24"/>
          <w:szCs w:val="24"/>
        </w:rPr>
        <w:t xml:space="preserve"> la elastasa de neutrófilos contenida en las trampas extracelulares, </w:t>
      </w:r>
      <w:r w:rsidR="009406CB" w:rsidRPr="009F3EB8">
        <w:rPr>
          <w:rFonts w:ascii="Arial" w:hAnsi="Arial" w:cs="Arial"/>
          <w:sz w:val="24"/>
          <w:szCs w:val="24"/>
        </w:rPr>
        <w:t xml:space="preserve">utilizando un </w:t>
      </w:r>
      <w:r w:rsidR="007B6741" w:rsidRPr="009F3EB8">
        <w:rPr>
          <w:rFonts w:ascii="Arial" w:hAnsi="Arial" w:cs="Arial"/>
          <w:sz w:val="24"/>
          <w:szCs w:val="24"/>
        </w:rPr>
        <w:t>anticuerpo</w:t>
      </w:r>
      <w:r w:rsidR="009406CB" w:rsidRPr="009F3EB8">
        <w:rPr>
          <w:rFonts w:ascii="Arial" w:hAnsi="Arial" w:cs="Arial"/>
          <w:sz w:val="24"/>
          <w:szCs w:val="24"/>
        </w:rPr>
        <w:t xml:space="preserve"> primario anti-elastasa y secundario</w:t>
      </w:r>
      <w:r w:rsidR="007B6741" w:rsidRPr="009F3EB8">
        <w:rPr>
          <w:rFonts w:ascii="Arial" w:hAnsi="Arial" w:cs="Arial"/>
          <w:sz w:val="24"/>
          <w:szCs w:val="24"/>
        </w:rPr>
        <w:t xml:space="preserve"> </w:t>
      </w:r>
      <w:r w:rsidR="009406CB" w:rsidRPr="009F3EB8">
        <w:rPr>
          <w:rFonts w:ascii="Arial" w:hAnsi="Arial" w:cs="Arial"/>
          <w:sz w:val="24"/>
          <w:szCs w:val="24"/>
        </w:rPr>
        <w:t>conjugado a Alexa Fluor 488,</w:t>
      </w:r>
      <w:r w:rsidRPr="009F3EB8">
        <w:rPr>
          <w:rFonts w:ascii="Arial" w:hAnsi="Arial" w:cs="Arial"/>
          <w:sz w:val="24"/>
          <w:szCs w:val="24"/>
        </w:rPr>
        <w:t xml:space="preserve"> </w:t>
      </w:r>
      <w:r w:rsidR="009406CB" w:rsidRPr="009F3EB8">
        <w:rPr>
          <w:rFonts w:ascii="Arial" w:hAnsi="Arial" w:cs="Arial"/>
          <w:sz w:val="24"/>
          <w:szCs w:val="24"/>
        </w:rPr>
        <w:t>siguiendo la</w:t>
      </w:r>
      <w:r w:rsidR="00310733">
        <w:rPr>
          <w:rFonts w:ascii="Arial" w:hAnsi="Arial" w:cs="Arial"/>
          <w:sz w:val="24"/>
          <w:szCs w:val="24"/>
        </w:rPr>
        <w:t>s recomendaciones del fabricante</w:t>
      </w:r>
      <w:r w:rsidR="00431A27" w:rsidRPr="009F3EB8">
        <w:rPr>
          <w:rFonts w:ascii="Arial" w:hAnsi="Arial" w:cs="Arial"/>
          <w:sz w:val="24"/>
          <w:szCs w:val="24"/>
        </w:rPr>
        <w:t>. Las muestras se observaron</w:t>
      </w:r>
      <w:r w:rsidRPr="009F3EB8">
        <w:rPr>
          <w:rFonts w:ascii="Arial" w:hAnsi="Arial" w:cs="Arial"/>
          <w:sz w:val="24"/>
          <w:szCs w:val="24"/>
        </w:rPr>
        <w:t xml:space="preserve"> en un microscopio de fluorescencia “Zeiss Axio Imager A2”.</w:t>
      </w:r>
    </w:p>
    <w:p w14:paraId="53E66D54" w14:textId="5E86D89F" w:rsidR="0067581D" w:rsidRDefault="0067581D" w:rsidP="00431A27">
      <w:pPr>
        <w:pStyle w:val="Default"/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  <w:r w:rsidRPr="0067581D">
        <w:rPr>
          <w:b/>
        </w:rPr>
        <w:t>6. RESULTADOS</w:t>
      </w:r>
    </w:p>
    <w:p w14:paraId="70AFA6FD" w14:textId="13C7B549" w:rsidR="005C199E" w:rsidRDefault="005C199E" w:rsidP="00454744">
      <w:pPr>
        <w:pStyle w:val="Default"/>
        <w:spacing w:before="100" w:beforeAutospacing="1" w:after="100" w:afterAutospacing="1" w:line="360" w:lineRule="auto"/>
        <w:contextualSpacing/>
        <w:jc w:val="both"/>
      </w:pPr>
      <w:r>
        <w:t xml:space="preserve">Se obtuvieron neutrófilos a partir de sangre periférica de sujetos sanos mediante </w:t>
      </w:r>
      <w:r w:rsidR="00072B43">
        <w:t>un gradiente de densidad.</w:t>
      </w:r>
      <w:r>
        <w:t xml:space="preserve"> </w:t>
      </w:r>
      <w:r w:rsidR="00072B43">
        <w:t>Como</w:t>
      </w:r>
      <w:r>
        <w:t xml:space="preserve"> control negativo </w:t>
      </w:r>
      <w:r w:rsidR="00072B43">
        <w:t>se utilizó</w:t>
      </w:r>
      <w:r>
        <w:t xml:space="preserve"> medio L-15 y </w:t>
      </w:r>
      <w:r w:rsidR="00072B43">
        <w:t>PMA como control positivo.</w:t>
      </w:r>
      <w:r>
        <w:t xml:space="preserve"> </w:t>
      </w:r>
    </w:p>
    <w:p w14:paraId="7475AAEC" w14:textId="41BB4F49" w:rsidR="0039638B" w:rsidRDefault="0039638B" w:rsidP="00454744">
      <w:pPr>
        <w:pStyle w:val="Default"/>
        <w:spacing w:before="100" w:beforeAutospacing="1" w:after="100" w:afterAutospacing="1" w:line="360" w:lineRule="auto"/>
        <w:contextualSpacing/>
        <w:jc w:val="both"/>
      </w:pPr>
      <w:r>
        <w:t>Al estimular a los neutrófilos sólo con la</w:t>
      </w:r>
      <w:r w:rsidR="005C199E">
        <w:t xml:space="preserve"> proteína de 30</w:t>
      </w:r>
      <w:r>
        <w:t xml:space="preserve"> kDa de S. typhimurium, </w:t>
      </w:r>
      <w:r w:rsidR="005C199E">
        <w:t xml:space="preserve">no se </w:t>
      </w:r>
      <w:r>
        <w:t>observó la formación de</w:t>
      </w:r>
      <w:r w:rsidR="005C199E">
        <w:t xml:space="preserve"> NETs</w:t>
      </w:r>
      <w:r>
        <w:t xml:space="preserve">, </w:t>
      </w:r>
      <w:r w:rsidR="00331C28">
        <w:t xml:space="preserve">aunque </w:t>
      </w:r>
      <w:r>
        <w:t>se observó una disminución en</w:t>
      </w:r>
      <w:r w:rsidRPr="0039638B">
        <w:t xml:space="preserve"> </w:t>
      </w:r>
      <w:r w:rsidR="00072B43">
        <w:t>el número de</w:t>
      </w:r>
      <w:r>
        <w:t xml:space="preserve"> neutrófilos, lo que podría sugerir que la p30 </w:t>
      </w:r>
      <w:r w:rsidRPr="001544A8">
        <w:rPr>
          <w:i/>
        </w:rPr>
        <w:t>S. typhimurium</w:t>
      </w:r>
      <w:r>
        <w:t xml:space="preserve"> induce muerte celular diferente a NETosis </w:t>
      </w:r>
      <w:r w:rsidR="005C199E">
        <w:t>.</w:t>
      </w:r>
    </w:p>
    <w:p w14:paraId="1DA620BD" w14:textId="595F77E6" w:rsidR="005C199E" w:rsidRPr="00CA45FB" w:rsidRDefault="0039638B" w:rsidP="00454744">
      <w:pPr>
        <w:pStyle w:val="Default"/>
        <w:spacing w:before="100" w:beforeAutospacing="1" w:after="100" w:afterAutospacing="1" w:line="360" w:lineRule="auto"/>
        <w:contextualSpacing/>
        <w:jc w:val="both"/>
      </w:pPr>
      <w:r>
        <w:t>En la estimulació</w:t>
      </w:r>
      <w:r w:rsidR="00072B43">
        <w:t>n</w:t>
      </w:r>
      <w:r>
        <w:t xml:space="preserve"> de neutrófilos con </w:t>
      </w:r>
      <w:r w:rsidR="005C199E">
        <w:t>p30</w:t>
      </w:r>
      <w:r w:rsidR="00072B43">
        <w:t xml:space="preserve"> de </w:t>
      </w:r>
      <w:r w:rsidR="00072B43" w:rsidRPr="001544A8">
        <w:rPr>
          <w:i/>
        </w:rPr>
        <w:t xml:space="preserve">S. typhimurium </w:t>
      </w:r>
      <w:r w:rsidR="00072B43">
        <w:t>combinada</w:t>
      </w:r>
      <w:r w:rsidR="005C199E">
        <w:t xml:space="preserve"> con suero de paciente con EA</w:t>
      </w:r>
      <w:r w:rsidR="00072B43">
        <w:t>,</w:t>
      </w:r>
      <w:r w:rsidR="005C199E">
        <w:t xml:space="preserve"> </w:t>
      </w:r>
      <w:r w:rsidR="00072B43">
        <w:t>se observó una mayor producción de NETs</w:t>
      </w:r>
      <w:r w:rsidR="005C199E">
        <w:t xml:space="preserve"> </w:t>
      </w:r>
      <w:r w:rsidR="00072B43">
        <w:t xml:space="preserve">en comparación </w:t>
      </w:r>
      <w:r w:rsidR="00072B43">
        <w:lastRenderedPageBreak/>
        <w:t>con lo observado cuando se estimularon neutrófilos con la</w:t>
      </w:r>
      <w:r w:rsidR="005C199E">
        <w:t xml:space="preserve"> p30 </w:t>
      </w:r>
      <w:r w:rsidR="00072B43">
        <w:t>de S</w:t>
      </w:r>
      <w:r w:rsidR="00072B43" w:rsidRPr="001544A8">
        <w:rPr>
          <w:i/>
        </w:rPr>
        <w:t>. typhimurium</w:t>
      </w:r>
      <w:r w:rsidR="00072B43">
        <w:t xml:space="preserve"> en combinación </w:t>
      </w:r>
      <w:r w:rsidR="005C199E">
        <w:t>con suero de sujeto</w:t>
      </w:r>
      <w:r w:rsidR="00072B43">
        <w:t>s</w:t>
      </w:r>
      <w:r w:rsidR="005C199E">
        <w:t xml:space="preserve"> sano</w:t>
      </w:r>
      <w:r w:rsidR="00072B43">
        <w:t>s</w:t>
      </w:r>
      <w:r w:rsidR="005C199E">
        <w:t>.</w:t>
      </w:r>
    </w:p>
    <w:p w14:paraId="0D20056E" w14:textId="60CB5D9D" w:rsidR="0067581D" w:rsidRDefault="0067581D" w:rsidP="00431A27">
      <w:pPr>
        <w:pStyle w:val="Default"/>
        <w:spacing w:before="100" w:beforeAutospacing="1" w:after="100" w:afterAutospacing="1" w:line="360" w:lineRule="auto"/>
        <w:contextualSpacing/>
        <w:jc w:val="both"/>
        <w:rPr>
          <w:b/>
        </w:rPr>
      </w:pPr>
    </w:p>
    <w:p w14:paraId="207D0529" w14:textId="4FAC5382" w:rsidR="0067581D" w:rsidRDefault="0067581D" w:rsidP="00431A27">
      <w:pPr>
        <w:pStyle w:val="Default"/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  <w:r>
        <w:rPr>
          <w:b/>
        </w:rPr>
        <w:t>7. DISCUSIÓN</w:t>
      </w:r>
    </w:p>
    <w:p w14:paraId="6C3F722C" w14:textId="584834E7" w:rsidR="00F27FDC" w:rsidRDefault="00780AF5" w:rsidP="009F3EB8">
      <w:pPr>
        <w:pStyle w:val="Default"/>
        <w:spacing w:before="100" w:beforeAutospacing="1" w:after="100" w:afterAutospacing="1" w:line="360" w:lineRule="auto"/>
        <w:contextualSpacing/>
        <w:jc w:val="both"/>
      </w:pPr>
      <w:r>
        <w:t>Los neutrófilos son la primera línea de defensa</w:t>
      </w:r>
      <w:r w:rsidR="002E43A1">
        <w:t xml:space="preserve"> de la respuesta inmune innata</w:t>
      </w:r>
      <w:r w:rsidR="005475C0">
        <w:t>.</w:t>
      </w:r>
      <w:r w:rsidR="002E43A1">
        <w:t xml:space="preserve"> </w:t>
      </w:r>
      <w:r w:rsidR="005475C0">
        <w:t>Utilizan</w:t>
      </w:r>
      <w:r w:rsidR="002E43A1">
        <w:t xml:space="preserve"> una amplia gama de mecanismos microbicidas después de ser activados por organismo patógenos</w:t>
      </w:r>
      <w:r w:rsidR="005475C0">
        <w:t xml:space="preserve">, </w:t>
      </w:r>
      <w:r w:rsidR="002E43A1">
        <w:t xml:space="preserve"> </w:t>
      </w:r>
      <w:r w:rsidR="005475C0">
        <w:t xml:space="preserve">el </w:t>
      </w:r>
      <w:r w:rsidR="002E43A1">
        <w:t xml:space="preserve">más reciente mecanismo microbicida descrito de los neutrófilos es la formación de </w:t>
      </w:r>
      <w:r w:rsidR="00F27FDC">
        <w:t>NETs</w:t>
      </w:r>
      <w:r w:rsidR="006D3181">
        <w:t xml:space="preserve"> </w:t>
      </w:r>
      <w:r>
        <w:t>(17)</w:t>
      </w:r>
      <w:r w:rsidR="005475C0">
        <w:t>, que</w:t>
      </w:r>
      <w:r w:rsidR="005475C0" w:rsidRPr="007168C6">
        <w:t xml:space="preserve"> se encuentra asociada a una form</w:t>
      </w:r>
      <w:r w:rsidR="005475C0">
        <w:t>a de muerte celular distinta de la apoptosis y de la necrosis, la cual se denomina</w:t>
      </w:r>
      <w:r w:rsidR="005475C0" w:rsidRPr="007168C6">
        <w:t xml:space="preserve"> NETosis</w:t>
      </w:r>
      <w:r w:rsidR="005475C0">
        <w:t xml:space="preserve"> (15).</w:t>
      </w:r>
    </w:p>
    <w:p w14:paraId="3F9DD7F8" w14:textId="736324EB" w:rsidR="00780AF5" w:rsidRDefault="00F27FDC" w:rsidP="009F3EB8">
      <w:pPr>
        <w:pStyle w:val="Default"/>
        <w:spacing w:before="100" w:beforeAutospacing="1" w:after="100" w:afterAutospacing="1" w:line="360" w:lineRule="auto"/>
        <w:contextualSpacing/>
        <w:jc w:val="both"/>
      </w:pPr>
      <w:r>
        <w:t>Ex</w:t>
      </w:r>
      <w:r w:rsidR="0082542B">
        <w:t>isten una amplia gama de inducto</w:t>
      </w:r>
      <w:r>
        <w:t>res de NETs, entre ellos, se h</w:t>
      </w:r>
      <w:r w:rsidR="006D3181" w:rsidRPr="006D3181">
        <w:t xml:space="preserve">a reportado que </w:t>
      </w:r>
      <w:r w:rsidR="00780AF5" w:rsidRPr="00A925AC">
        <w:rPr>
          <w:i/>
        </w:rPr>
        <w:t>S. typhimurium</w:t>
      </w:r>
      <w:r w:rsidR="0082542B">
        <w:t xml:space="preserve"> tiene la capacidad de producirlos</w:t>
      </w:r>
      <w:r w:rsidR="006D3181">
        <w:t>.</w:t>
      </w:r>
      <w:r w:rsidR="005475C0">
        <w:t xml:space="preserve"> Sin embargo n</w:t>
      </w:r>
      <w:r w:rsidR="006D3181">
        <w:t>uestros</w:t>
      </w:r>
      <w:r w:rsidR="00780AF5">
        <w:t xml:space="preserve"> resultado</w:t>
      </w:r>
      <w:r w:rsidR="006D3181">
        <w:t>s demuestran que la</w:t>
      </w:r>
      <w:r w:rsidR="00780AF5">
        <w:t xml:space="preserve"> p30 </w:t>
      </w:r>
      <w:r w:rsidR="006D3181">
        <w:t xml:space="preserve">de </w:t>
      </w:r>
      <w:r w:rsidR="006D3181" w:rsidRPr="006D3181">
        <w:rPr>
          <w:i/>
        </w:rPr>
        <w:t>S.</w:t>
      </w:r>
      <w:r w:rsidR="006D3181" w:rsidRPr="00112E24">
        <w:rPr>
          <w:i/>
        </w:rPr>
        <w:t xml:space="preserve"> typhimurium</w:t>
      </w:r>
      <w:r w:rsidR="006D3181">
        <w:t xml:space="preserve"> </w:t>
      </w:r>
      <w:r w:rsidR="00780AF5">
        <w:t xml:space="preserve">no es capaz de </w:t>
      </w:r>
      <w:r w:rsidR="006D3181">
        <w:t>inducir la formación de</w:t>
      </w:r>
      <w:r w:rsidR="00780AF5">
        <w:t xml:space="preserve"> trampas extracelulares y que además el número de </w:t>
      </w:r>
      <w:r w:rsidR="006D3181">
        <w:t>neutrófilos</w:t>
      </w:r>
      <w:r w:rsidR="00780AF5">
        <w:t xml:space="preserve"> disminuye considerablemente</w:t>
      </w:r>
      <w:r w:rsidR="006D3181">
        <w:t xml:space="preserve"> después de ser estimulados con la p30</w:t>
      </w:r>
      <w:r w:rsidR="0082542B">
        <w:t>.</w:t>
      </w:r>
      <w:r w:rsidR="0082542B" w:rsidRPr="0082542B">
        <w:t xml:space="preserve"> </w:t>
      </w:r>
    </w:p>
    <w:p w14:paraId="25731904" w14:textId="7A6FB73A" w:rsidR="00780AF5" w:rsidRDefault="006D3181" w:rsidP="009F3EB8">
      <w:pPr>
        <w:pStyle w:val="Default"/>
        <w:spacing w:before="100" w:beforeAutospacing="1" w:after="100" w:afterAutospacing="1" w:line="360" w:lineRule="auto"/>
        <w:contextualSpacing/>
        <w:jc w:val="both"/>
      </w:pPr>
      <w:r>
        <w:t>Se ha demostrado que</w:t>
      </w:r>
      <w:r w:rsidR="00780AF5">
        <w:t xml:space="preserve"> la secreción de productos de </w:t>
      </w:r>
      <w:r w:rsidR="00780AF5" w:rsidRPr="00112E24">
        <w:rPr>
          <w:i/>
        </w:rPr>
        <w:t>Staphylococcus aureus, Escherichia coli, Pseudomonas aeruginosa,</w:t>
      </w:r>
      <w:r w:rsidR="00780AF5">
        <w:t xml:space="preserve"> y </w:t>
      </w:r>
      <w:r w:rsidR="00780AF5" w:rsidRPr="00112E24">
        <w:rPr>
          <w:i/>
        </w:rPr>
        <w:t>Salmonella enteritis</w:t>
      </w:r>
      <w:r w:rsidR="00780AF5">
        <w:t xml:space="preserve"> son responsables de la muerte celular de monocitos humanos</w:t>
      </w:r>
      <w:r>
        <w:t xml:space="preserve"> por apoptosis</w:t>
      </w:r>
      <w:r w:rsidR="00780AF5">
        <w:t xml:space="preserve">, de igual forma se ha probado que proteínas bacterianas como las toxinas A-B y algunos superantígenos de </w:t>
      </w:r>
      <w:r w:rsidR="00780AF5" w:rsidRPr="00112E24">
        <w:rPr>
          <w:i/>
        </w:rPr>
        <w:t>Staphylococcus spp</w:t>
      </w:r>
      <w:r w:rsidR="00780AF5">
        <w:t xml:space="preserve"> </w:t>
      </w:r>
      <w:r w:rsidR="00780AF5" w:rsidRPr="00112E24">
        <w:rPr>
          <w:i/>
        </w:rPr>
        <w:t>y Streptococcus spp</w:t>
      </w:r>
      <w:r w:rsidR="00780AF5">
        <w:t xml:space="preserve"> inducen apoptosis en diferentes tipos celulares (18). </w:t>
      </w:r>
      <w:r>
        <w:t xml:space="preserve">Por lo que, </w:t>
      </w:r>
      <w:r w:rsidR="005475C0">
        <w:t>podríamos</w:t>
      </w:r>
      <w:r>
        <w:t xml:space="preserve"> sugerir que s</w:t>
      </w:r>
      <w:r w:rsidR="00780AF5">
        <w:t xml:space="preserve">i bien p30 no induce NETs, </w:t>
      </w:r>
      <w:r w:rsidR="00F056EA">
        <w:t>podría inducir apo</w:t>
      </w:r>
      <w:r>
        <w:t>tosis de neutrófilos</w:t>
      </w:r>
      <w:r w:rsidR="005475C0">
        <w:t xml:space="preserve">, </w:t>
      </w:r>
      <w:r w:rsidR="00D85D34">
        <w:t>aunque</w:t>
      </w:r>
      <w:r w:rsidR="005475C0">
        <w:t xml:space="preserve"> esto debe ser comprobado</w:t>
      </w:r>
      <w:r w:rsidR="00F056EA">
        <w:t>.</w:t>
      </w:r>
      <w:r w:rsidR="00780AF5">
        <w:t xml:space="preserve"> </w:t>
      </w:r>
    </w:p>
    <w:p w14:paraId="35E364FC" w14:textId="77777777" w:rsidR="00AB0BA8" w:rsidRDefault="00A925AC" w:rsidP="009F3EB8">
      <w:pPr>
        <w:pStyle w:val="Default"/>
        <w:spacing w:before="100" w:beforeAutospacing="1" w:after="100" w:afterAutospacing="1" w:line="360" w:lineRule="auto"/>
        <w:contextualSpacing/>
        <w:jc w:val="both"/>
      </w:pPr>
      <w:r>
        <w:t xml:space="preserve">Además, en este trabajo, observamos </w:t>
      </w:r>
      <w:r w:rsidR="00AB0BA8">
        <w:t>un mayor número de NETs</w:t>
      </w:r>
      <w:r>
        <w:t xml:space="preserve"> a</w:t>
      </w:r>
      <w:r w:rsidR="00780AF5">
        <w:t>l</w:t>
      </w:r>
      <w:r>
        <w:t xml:space="preserve"> estimular a los neutrófilos con</w:t>
      </w:r>
      <w:r w:rsidR="00780AF5">
        <w:t xml:space="preserve"> </w:t>
      </w:r>
      <w:r>
        <w:t>la p30 de</w:t>
      </w:r>
      <w:r w:rsidR="00780AF5">
        <w:t xml:space="preserve"> </w:t>
      </w:r>
      <w:r w:rsidRPr="006D3181">
        <w:rPr>
          <w:i/>
        </w:rPr>
        <w:t>S.</w:t>
      </w:r>
      <w:r w:rsidRPr="00112E24">
        <w:rPr>
          <w:i/>
        </w:rPr>
        <w:t xml:space="preserve"> typhimurium</w:t>
      </w:r>
      <w:r>
        <w:t xml:space="preserve"> </w:t>
      </w:r>
      <w:r w:rsidR="00780AF5">
        <w:t>combinada con suero de pacientes con EA</w:t>
      </w:r>
      <w:r w:rsidR="00AB0BA8">
        <w:t xml:space="preserve"> que con suero de sujetos sanos. </w:t>
      </w:r>
    </w:p>
    <w:p w14:paraId="72A49C29" w14:textId="60A9C923" w:rsidR="00780AF5" w:rsidRDefault="00A925AC" w:rsidP="009F3EB8">
      <w:pPr>
        <w:pStyle w:val="Default"/>
        <w:spacing w:before="100" w:beforeAutospacing="1" w:after="100" w:afterAutospacing="1" w:line="360" w:lineRule="auto"/>
        <w:contextualSpacing/>
        <w:jc w:val="both"/>
      </w:pPr>
      <w:r>
        <w:t>Se ha reportado</w:t>
      </w:r>
      <w:r w:rsidR="00780AF5">
        <w:t xml:space="preserve"> que </w:t>
      </w:r>
      <w:r>
        <w:t>en el suero de pacientes con EA presenta</w:t>
      </w:r>
      <w:r w:rsidR="00780AF5">
        <w:t xml:space="preserve"> niveles </w:t>
      </w:r>
      <w:r>
        <w:t>más altos de anticuerpos anti-p30</w:t>
      </w:r>
      <w:r w:rsidR="00F27FDC">
        <w:t xml:space="preserve">, comparado con los niveles </w:t>
      </w:r>
      <w:r>
        <w:t xml:space="preserve">encontrados en los sueros de sujetos control </w:t>
      </w:r>
      <w:r w:rsidR="00792334" w:rsidRPr="00792334">
        <w:t>(10</w:t>
      </w:r>
      <w:r w:rsidRPr="00792334">
        <w:t>).</w:t>
      </w:r>
      <w:r>
        <w:t xml:space="preserve">  P</w:t>
      </w:r>
      <w:r w:rsidR="00780AF5">
        <w:t xml:space="preserve">or lo que al </w:t>
      </w:r>
      <w:r>
        <w:t xml:space="preserve">poner en contacto la </w:t>
      </w:r>
      <w:r w:rsidR="00780AF5">
        <w:t xml:space="preserve">p30 </w:t>
      </w:r>
      <w:r>
        <w:t xml:space="preserve">con el suero de pacientes con EA podrían formarse </w:t>
      </w:r>
      <w:r w:rsidR="00780AF5">
        <w:t xml:space="preserve">inmunocomplejos que </w:t>
      </w:r>
      <w:r>
        <w:t>serían</w:t>
      </w:r>
      <w:r w:rsidR="00780AF5">
        <w:t xml:space="preserve"> reconocidos por los neutrófilos </w:t>
      </w:r>
      <w:r>
        <w:t>a través de sus</w:t>
      </w:r>
      <w:r w:rsidR="00780AF5">
        <w:t xml:space="preserve"> </w:t>
      </w:r>
      <w:r>
        <w:t>Fc</w:t>
      </w:r>
      <w:r>
        <w:sym w:font="Symbol" w:char="F067"/>
      </w:r>
      <w:r>
        <w:t>Rs e inducir</w:t>
      </w:r>
      <w:r w:rsidR="00780AF5">
        <w:t xml:space="preserve"> </w:t>
      </w:r>
      <w:r>
        <w:t xml:space="preserve">la </w:t>
      </w:r>
      <w:r w:rsidR="00780AF5">
        <w:t>producción de</w:t>
      </w:r>
      <w:r w:rsidR="00F27FDC">
        <w:t xml:space="preserve"> NETs.</w:t>
      </w:r>
      <w:r w:rsidR="00780AF5">
        <w:t xml:space="preserve"> </w:t>
      </w:r>
    </w:p>
    <w:p w14:paraId="67570F0B" w14:textId="64FA2A98" w:rsidR="008B3B74" w:rsidRPr="008B3B74" w:rsidRDefault="008B3B74" w:rsidP="008B3B74">
      <w:pPr>
        <w:pStyle w:val="Default"/>
        <w:spacing w:before="100" w:beforeAutospacing="1" w:after="100" w:afterAutospacing="1" w:line="360" w:lineRule="auto"/>
        <w:ind w:firstLine="709"/>
        <w:contextualSpacing/>
        <w:jc w:val="both"/>
        <w:rPr>
          <w:b/>
        </w:rPr>
      </w:pPr>
      <w:r w:rsidRPr="008B3B74">
        <w:rPr>
          <w:b/>
        </w:rPr>
        <w:lastRenderedPageBreak/>
        <w:t>8. CONCLUSIÓN</w:t>
      </w:r>
    </w:p>
    <w:p w14:paraId="6CF42922" w14:textId="6AA76D72" w:rsidR="008B3B74" w:rsidRPr="008B3B74" w:rsidRDefault="008B3B74" w:rsidP="009F3EB8">
      <w:pPr>
        <w:pStyle w:val="Default"/>
        <w:spacing w:before="100" w:beforeAutospacing="1" w:after="100" w:afterAutospacing="1" w:line="360" w:lineRule="auto"/>
        <w:contextualSpacing/>
        <w:jc w:val="both"/>
        <w:rPr>
          <w:rFonts w:eastAsia="Arial"/>
          <w:bCs/>
        </w:rPr>
      </w:pPr>
      <w:r>
        <w:rPr>
          <w:rFonts w:eastAsia="Arial"/>
          <w:bCs/>
        </w:rPr>
        <w:t xml:space="preserve">La p30 </w:t>
      </w:r>
      <w:r w:rsidRPr="0039638B">
        <w:rPr>
          <w:rFonts w:eastAsia="Arial"/>
          <w:bCs/>
          <w:i/>
        </w:rPr>
        <w:t xml:space="preserve">S. </w:t>
      </w:r>
      <w:r>
        <w:rPr>
          <w:rFonts w:eastAsia="Arial"/>
          <w:bCs/>
          <w:i/>
        </w:rPr>
        <w:t>t</w:t>
      </w:r>
      <w:r w:rsidRPr="0039638B">
        <w:rPr>
          <w:rFonts w:eastAsia="Arial"/>
          <w:bCs/>
          <w:i/>
        </w:rPr>
        <w:t>yphimurium</w:t>
      </w:r>
      <w:r>
        <w:rPr>
          <w:rFonts w:eastAsia="Arial"/>
          <w:bCs/>
          <w:i/>
        </w:rPr>
        <w:t xml:space="preserve"> </w:t>
      </w:r>
      <w:r>
        <w:rPr>
          <w:rFonts w:eastAsia="Arial"/>
          <w:bCs/>
        </w:rPr>
        <w:t>no induce la liberación de NETs. Sin embargo</w:t>
      </w:r>
      <w:r w:rsidR="00792334">
        <w:rPr>
          <w:rFonts w:eastAsia="Arial"/>
          <w:bCs/>
        </w:rPr>
        <w:t>,</w:t>
      </w:r>
      <w:bookmarkStart w:id="0" w:name="_GoBack"/>
      <w:bookmarkEnd w:id="0"/>
      <w:r>
        <w:rPr>
          <w:rFonts w:eastAsia="Arial"/>
          <w:bCs/>
        </w:rPr>
        <w:t xml:space="preserve"> el suero de pacientes con EA, contienen anticuerpos que interaccionan con la p30 </w:t>
      </w:r>
      <w:r w:rsidRPr="0039638B">
        <w:rPr>
          <w:rFonts w:eastAsia="Arial"/>
          <w:bCs/>
          <w:i/>
        </w:rPr>
        <w:t xml:space="preserve">S. </w:t>
      </w:r>
      <w:r>
        <w:rPr>
          <w:rFonts w:eastAsia="Arial"/>
          <w:bCs/>
          <w:i/>
        </w:rPr>
        <w:t>t</w:t>
      </w:r>
      <w:r w:rsidRPr="0039638B">
        <w:rPr>
          <w:rFonts w:eastAsia="Arial"/>
          <w:bCs/>
          <w:i/>
        </w:rPr>
        <w:t>yphimurium</w:t>
      </w:r>
      <w:r>
        <w:rPr>
          <w:rFonts w:eastAsia="Arial"/>
          <w:bCs/>
          <w:i/>
        </w:rPr>
        <w:t xml:space="preserve"> </w:t>
      </w:r>
      <w:r>
        <w:rPr>
          <w:rFonts w:eastAsia="Arial"/>
          <w:bCs/>
        </w:rPr>
        <w:t>y debido a esa interacción podrían formarse inmunocomplejos con la capacidad de formar trampas extracelulares de neutrófilos.</w:t>
      </w:r>
    </w:p>
    <w:p w14:paraId="3ED2CEE1" w14:textId="3007CE40" w:rsidR="2872DF7C" w:rsidRPr="00ED4B34" w:rsidRDefault="2872DF7C" w:rsidP="00780AF5">
      <w:pPr>
        <w:pStyle w:val="Default"/>
        <w:spacing w:before="100" w:beforeAutospacing="1" w:after="100" w:afterAutospacing="1" w:line="360" w:lineRule="auto"/>
        <w:contextualSpacing/>
        <w:jc w:val="both"/>
      </w:pPr>
    </w:p>
    <w:p w14:paraId="43056C3C" w14:textId="4C016712" w:rsidR="00384C85" w:rsidRPr="00ED4B34" w:rsidRDefault="008B3B74" w:rsidP="00431A27">
      <w:pPr>
        <w:pStyle w:val="Default"/>
        <w:spacing w:before="100" w:beforeAutospacing="1" w:after="100" w:afterAutospacing="1" w:line="360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9</w:t>
      </w:r>
      <w:r w:rsidR="70761786" w:rsidRPr="00ED4B34">
        <w:rPr>
          <w:b/>
          <w:bCs/>
        </w:rPr>
        <w:t xml:space="preserve">. </w:t>
      </w:r>
      <w:r w:rsidR="0067581D">
        <w:rPr>
          <w:b/>
          <w:bCs/>
        </w:rPr>
        <w:t>BIBLIOGRAFÍ</w:t>
      </w:r>
      <w:r w:rsidR="007A324D" w:rsidRPr="00ED4B34">
        <w:rPr>
          <w:b/>
          <w:bCs/>
        </w:rPr>
        <w:t>A</w:t>
      </w:r>
    </w:p>
    <w:p w14:paraId="28CAA51D" w14:textId="77777777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397"/>
        <w:contextualSpacing/>
        <w:jc w:val="both"/>
      </w:pPr>
      <w:r w:rsidRPr="00ED4B34">
        <w:t>Triana-Santillan J, Escala-Maccaferri A, Diaz-Peña J, Miño-Garzon A, Davila-Quijano J. Ankylosing spondylitis. A case report. Revista Médica 2010.</w:t>
      </w:r>
    </w:p>
    <w:p w14:paraId="012D06E8" w14:textId="7A2AEAB2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397"/>
        <w:contextualSpacing/>
        <w:jc w:val="both"/>
      </w:pPr>
      <w:r w:rsidRPr="00ED4B34">
        <w:t>González-Rodríguez M, Guerra-Soto A, Corona-Sánchez E, Rocha-Muñoz A, Díaz-González E, González-López E. (2013). Espondilitis a</w:t>
      </w:r>
      <w:r w:rsidRPr="00ED4B34">
        <w:rPr>
          <w:color w:val="auto"/>
        </w:rPr>
        <w:t>nquilosant</w:t>
      </w:r>
      <w:r w:rsidR="00385F43">
        <w:rPr>
          <w:color w:val="auto"/>
        </w:rPr>
        <w:t xml:space="preserve">e. Conceptos genrales. </w:t>
      </w:r>
      <w:r w:rsidRPr="00ED4B34">
        <w:rPr>
          <w:color w:val="auto"/>
        </w:rPr>
        <w:t>2017</w:t>
      </w:r>
      <w:r w:rsidR="00385F43">
        <w:rPr>
          <w:color w:val="auto"/>
        </w:rPr>
        <w:t>.</w:t>
      </w:r>
    </w:p>
    <w:p w14:paraId="376E9CB1" w14:textId="77777777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397"/>
        <w:contextualSpacing/>
        <w:jc w:val="both"/>
        <w:rPr>
          <w:lang w:val="en-US"/>
        </w:rPr>
      </w:pPr>
      <w:r w:rsidRPr="00ED4B34">
        <w:rPr>
          <w:lang w:val="en-US"/>
        </w:rPr>
        <w:t>Castro-Santos P, Gutiérrez MA, Díaz-Peña R Genetics of ankylosing spondylitis Rev. méd. Chile vol.142 no.9 Santiago set. 2014.</w:t>
      </w:r>
    </w:p>
    <w:p w14:paraId="297E04CD" w14:textId="15EF0B1C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397"/>
        <w:contextualSpacing/>
        <w:jc w:val="both"/>
      </w:pPr>
      <w:r w:rsidRPr="00ED4B34">
        <w:t>Carpeta S, Man</w:t>
      </w:r>
      <w:r w:rsidR="00385F43">
        <w:t>tilla R, Iglesias A, Ossa H. HLA</w:t>
      </w:r>
      <w:r w:rsidRPr="00ED4B34">
        <w:t xml:space="preserve"> B27 Y Espondilitis Anquilosante: Estudio De Asociación En La Población Colombiana Universidad Distrital.</w:t>
      </w:r>
    </w:p>
    <w:p w14:paraId="628AEAE3" w14:textId="77777777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397"/>
        <w:contextualSpacing/>
        <w:jc w:val="both"/>
      </w:pPr>
      <w:r w:rsidRPr="00ED4B34">
        <w:rPr>
          <w:lang w:val="es-ES"/>
        </w:rPr>
        <w:t xml:space="preserve">Durán-Avelar MdJ, Vibanco-Pérez N, Rodríguez-Ocampo AN, Agraz-Cibrian JM, Peña-Virgen S, Zambrano-Zaragoza JF. </w:t>
      </w:r>
      <w:r w:rsidRPr="00ED4B34">
        <w:rPr>
          <w:lang w:val="en-US"/>
        </w:rPr>
        <w:t xml:space="preserve">Humoral Immune Response to Salmonella Antigens and Polymorphisms in Receptors for the Fc of IgG in Patients with Ankylosing Spondylitis. Clinical and Molecular Advances in Ankylosing Spondylitis Intech. 2012. </w:t>
      </w:r>
    </w:p>
    <w:p w14:paraId="0661EC12" w14:textId="77777777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397"/>
        <w:contextualSpacing/>
        <w:jc w:val="both"/>
        <w:rPr>
          <w:lang w:val="en-US"/>
        </w:rPr>
      </w:pPr>
      <w:r w:rsidRPr="00ED4B34">
        <w:rPr>
          <w:lang w:val="es-ES"/>
        </w:rPr>
        <w:t xml:space="preserve">Guilabert Vidal A. Polimorfismos del receptor Fc gamma en patología cutánea inmunomediada: Papel en la patogenia del penfigoide ampolloso y en la respuesta a tratamiento biológico en la psoriasis. </w:t>
      </w:r>
      <w:r w:rsidRPr="00ED4B34">
        <w:rPr>
          <w:lang w:val="en-US"/>
        </w:rPr>
        <w:t>2012.</w:t>
      </w:r>
    </w:p>
    <w:p w14:paraId="75AA2DB3" w14:textId="77777777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397"/>
        <w:contextualSpacing/>
        <w:jc w:val="both"/>
      </w:pPr>
      <w:r w:rsidRPr="00ED4B34">
        <w:t>Pérez-Rodríguez M. HLA y enfermedad. Rev  Med Inst Mex Seguro Soc 2005; 43 (Supl 1): 91-93</w:t>
      </w:r>
    </w:p>
    <w:p w14:paraId="1CA830F4" w14:textId="08CA761B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397"/>
        <w:contextualSpacing/>
        <w:jc w:val="both"/>
        <w:rPr>
          <w:lang w:val="en-US"/>
        </w:rPr>
      </w:pPr>
      <w:r w:rsidRPr="00ED4B34">
        <w:rPr>
          <w:lang w:val="en-US"/>
        </w:rPr>
        <w:t xml:space="preserve">Jeffrey A. Sparks, MD, MMSc1 and Karen H. Costenbader, MD, MPH. (Noviembre 2014). Genetics, environment, and gene-environment interactions in the development of systemic rheumatic diseases. </w:t>
      </w:r>
    </w:p>
    <w:p w14:paraId="00352E15" w14:textId="77777777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397"/>
        <w:contextualSpacing/>
        <w:jc w:val="both"/>
      </w:pPr>
      <w:r w:rsidRPr="00ED4B34">
        <w:lastRenderedPageBreak/>
        <w:t xml:space="preserve">Durán-Avelar MJ, Vibanco-Pérez N, Rodríguez-Ocampo AN, Peña-Virgen S, Zambrano-Zaragoza JF. </w:t>
      </w:r>
      <w:r w:rsidRPr="00ED4B34">
        <w:rPr>
          <w:lang w:val="en-US"/>
        </w:rPr>
        <w:t xml:space="preserve">Lymphoproliferative response to the 30-kDa protein and a crude lysate from Salmonella typhimurium in patients with ankylosing spondylitis. </w:t>
      </w:r>
      <w:r w:rsidRPr="00ED4B34">
        <w:t>Scand J Rheumatol. 2013;42(3):232–4.</w:t>
      </w:r>
    </w:p>
    <w:p w14:paraId="3255A13C" w14:textId="0E7D83C7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contextualSpacing/>
        <w:jc w:val="both"/>
      </w:pPr>
      <w:r w:rsidRPr="00ED4B34">
        <w:t xml:space="preserve">Zambrano-Zaragoza JF, de Jesus Durán-Avelar M, Rodríguez-Ocampo AN, García-Latorre E, Burgos-Vargas R, Dominguez-Lopez M-L, et al. </w:t>
      </w:r>
      <w:r w:rsidRPr="00ED4B34">
        <w:rPr>
          <w:lang w:val="en-US"/>
        </w:rPr>
        <w:t xml:space="preserve">The 30-kDa band from Salmonella typhimurium: IgM, IgA and IgG antibody response in patients with ankylosing spondylitis. </w:t>
      </w:r>
      <w:r w:rsidRPr="00ED4B34">
        <w:t>Rheumatology (Oxford). 2009;48(7):748–54</w:t>
      </w:r>
    </w:p>
    <w:p w14:paraId="2CF9C176" w14:textId="26C36DBD" w:rsidR="00ED4B34" w:rsidRPr="00B85D6B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contextualSpacing/>
        <w:jc w:val="both"/>
        <w:rPr>
          <w:lang w:val="es-ES"/>
        </w:rPr>
      </w:pPr>
      <w:r w:rsidRPr="00ED4B34">
        <w:rPr>
          <w:lang w:val="en-US"/>
        </w:rPr>
        <w:t xml:space="preserve">Thomas J. Kindt, Richard A. GoldsbyBarbara A. Osborne. </w:t>
      </w:r>
      <w:r w:rsidRPr="00ED4B34">
        <w:t>Inmunología de Kuby 2007. Mcgraw-Hill Interamericana editores, S.A. de C.V.</w:t>
      </w:r>
    </w:p>
    <w:p w14:paraId="047F8843" w14:textId="587BD598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contextualSpacing/>
        <w:jc w:val="both"/>
        <w:rPr>
          <w:lang w:val="en-US"/>
        </w:rPr>
      </w:pPr>
      <w:r w:rsidRPr="00ED4B34">
        <w:rPr>
          <w:lang w:val="en-US"/>
        </w:rPr>
        <w:t>Brinkmann V, Zychlinsky A. Neutrophil extracelular traps: Is inmunity the second función of choromatin? 2012</w:t>
      </w:r>
      <w:r w:rsidR="00385F43">
        <w:rPr>
          <w:lang w:val="en-US"/>
        </w:rPr>
        <w:t>.</w:t>
      </w:r>
    </w:p>
    <w:p w14:paraId="2B9B3541" w14:textId="77777777" w:rsidR="00ED4B34" w:rsidRPr="009477B7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contextualSpacing/>
        <w:jc w:val="both"/>
        <w:rPr>
          <w:lang w:val="en-US"/>
        </w:rPr>
      </w:pPr>
      <w:r w:rsidRPr="00ED4B34">
        <w:rPr>
          <w:lang w:val="en-US"/>
        </w:rPr>
        <w:t>Brinkmann V, Reichard U, Goosmann C, Fauler B, Uhlemann Y, Weiss DS, et al. Neutrophil extracellular traps kill bacteria. Science. 2004;303(5663):1532–5.</w:t>
      </w:r>
    </w:p>
    <w:p w14:paraId="7C56B9F4" w14:textId="6AF5698D" w:rsidR="00ED4B34" w:rsidRPr="00ED4B34" w:rsidRDefault="008F4575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contextualSpacing/>
        <w:jc w:val="both"/>
        <w:rPr>
          <w:lang w:val="en-US"/>
        </w:rPr>
      </w:pPr>
      <w:hyperlink r:id="rId7" w:history="1">
        <w:r w:rsidR="00ED4B34" w:rsidRPr="00ED4B34">
          <w:rPr>
            <w:lang w:val="en-US"/>
          </w:rPr>
          <w:t>J.-Kaplan M, </w:t>
        </w:r>
      </w:hyperlink>
      <w:r w:rsidR="00ED4B34" w:rsidRPr="00ED4B34">
        <w:rPr>
          <w:lang w:val="en-US"/>
        </w:rPr>
        <w:t> </w:t>
      </w:r>
      <w:hyperlink r:id="rId8" w:history="1">
        <w:r w:rsidR="00ED4B34" w:rsidRPr="00ED4B34">
          <w:rPr>
            <w:lang w:val="en-US"/>
          </w:rPr>
          <w:t xml:space="preserve"> Radic </w:t>
        </w:r>
      </w:hyperlink>
      <w:r w:rsidR="00ED4B34" w:rsidRPr="00ED4B34">
        <w:rPr>
          <w:lang w:val="en-US"/>
        </w:rPr>
        <w:t xml:space="preserve">M. Neutrophil extracellular traps (NETs): Double-Edged swords of innate immunity. </w:t>
      </w:r>
      <w:hyperlink r:id="rId9" w:tgtFrame="pmc_ext" w:history="1">
        <w:r w:rsidR="00385F43">
          <w:rPr>
            <w:lang w:val="en-US"/>
          </w:rPr>
          <w:t>J Immunol. 2012</w:t>
        </w:r>
        <w:r w:rsidR="00ED4B34" w:rsidRPr="00ED4B34">
          <w:rPr>
            <w:lang w:val="en-US"/>
          </w:rPr>
          <w:t>; 189 (6): 2689-2695.</w:t>
        </w:r>
      </w:hyperlink>
    </w:p>
    <w:p w14:paraId="2628C073" w14:textId="63DF2FA5" w:rsidR="00ED4B34" w:rsidRP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contextualSpacing/>
        <w:jc w:val="both"/>
      </w:pPr>
      <w:r w:rsidRPr="00ED4B34">
        <w:t>Gabelloni ML, Sabbione F, Lula L, Keitelman I, Jancic C, Giordano M, Geffner J, Trevani A. Trampas extracelulares de neutrófilos: una novedosa estrategia antiinfecciosa empleando moléculas antimicrobianas largamente conocidas. Revista QuímicaViva 2013</w:t>
      </w:r>
      <w:r w:rsidR="00385F43">
        <w:t>.</w:t>
      </w:r>
    </w:p>
    <w:p w14:paraId="613F9D15" w14:textId="020D8E15" w:rsidR="00ED4B34" w:rsidRDefault="00ED4B34" w:rsidP="00431A27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contextualSpacing/>
        <w:jc w:val="both"/>
        <w:rPr>
          <w:lang w:val="en-US"/>
        </w:rPr>
      </w:pPr>
      <w:r w:rsidRPr="005475C0">
        <w:rPr>
          <w:lang w:val="en-US"/>
        </w:rPr>
        <w:t xml:space="preserve"> Delgado-Rizo V, Martínez-Guzmán M, Iñiguez-Gutierrez L, García-Orozco A, Alvarado-Navarro A and Fafutis-Morris M.</w:t>
      </w:r>
      <w:r w:rsidR="00385F43" w:rsidRPr="005475C0">
        <w:rPr>
          <w:lang w:val="en-US"/>
        </w:rPr>
        <w:t xml:space="preserve"> 2017;</w:t>
      </w:r>
      <w:r w:rsidRPr="005475C0">
        <w:rPr>
          <w:lang w:val="en-US"/>
        </w:rPr>
        <w:t xml:space="preserve"> Neutrophil Extracellular Traps and Its Implications in Inflammation: An Overview. </w:t>
      </w:r>
      <w:r w:rsidR="00385F43">
        <w:rPr>
          <w:lang w:val="en-US"/>
        </w:rPr>
        <w:t>Frontiers in Immunology.</w:t>
      </w:r>
    </w:p>
    <w:p w14:paraId="58BD04EA" w14:textId="77777777" w:rsidR="00792334" w:rsidRDefault="00792334" w:rsidP="00792334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contextualSpacing/>
        <w:jc w:val="both"/>
        <w:rPr>
          <w:lang w:val="en-US"/>
        </w:rPr>
      </w:pPr>
      <w:r w:rsidRPr="0001171E">
        <w:rPr>
          <w:lang w:val="es-ES"/>
        </w:rPr>
        <w:t xml:space="preserve">Arango J, Gamez L, Lopez J. Sistema NADPH oxidasa: nuevos retos y perspectivas. </w:t>
      </w:r>
      <w:r>
        <w:rPr>
          <w:lang w:val="en-US"/>
        </w:rPr>
        <w:t>Revista scielo</w:t>
      </w:r>
      <w:r w:rsidRPr="0001171E">
        <w:rPr>
          <w:lang w:val="en-US"/>
        </w:rPr>
        <w:t xml:space="preserve">.. </w:t>
      </w:r>
      <w:r w:rsidRPr="0001171E">
        <w:rPr>
          <w:rFonts w:cstheme="majorBidi"/>
          <w:lang w:val="en-US"/>
        </w:rPr>
        <w:t>vol.23 no.4 Medellín Oct./Dec. 2010</w:t>
      </w:r>
      <w:r>
        <w:rPr>
          <w:lang w:val="en-US"/>
        </w:rPr>
        <w:t>.</w:t>
      </w:r>
    </w:p>
    <w:p w14:paraId="66727459" w14:textId="77777777" w:rsidR="00792334" w:rsidRPr="00F529E4" w:rsidRDefault="00792334" w:rsidP="00792334">
      <w:pPr>
        <w:pStyle w:val="Default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contextualSpacing/>
        <w:jc w:val="both"/>
        <w:rPr>
          <w:lang w:val="en-US"/>
        </w:rPr>
      </w:pPr>
      <w:r>
        <w:t>Manriquez X, Lopez Y, Gutiérrez P. Inducción de apoptosis por especies del género Mycobacterium.  Revista Latinoamericana de Microbiologia. Vol 50. 2008</w:t>
      </w:r>
    </w:p>
    <w:p w14:paraId="5D106344" w14:textId="77777777" w:rsidR="00792334" w:rsidRPr="00ED4B34" w:rsidRDefault="00792334" w:rsidP="00792334">
      <w:pPr>
        <w:pStyle w:val="Default"/>
        <w:spacing w:before="100" w:beforeAutospacing="1" w:after="100" w:afterAutospacing="1" w:line="360" w:lineRule="auto"/>
        <w:contextualSpacing/>
        <w:jc w:val="both"/>
        <w:rPr>
          <w:lang w:val="en-US"/>
        </w:rPr>
      </w:pPr>
    </w:p>
    <w:sectPr w:rsidR="00792334" w:rsidRPr="00ED4B34" w:rsidSect="00ED3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CB2E" w14:textId="77777777" w:rsidR="008F4575" w:rsidRDefault="008F4575" w:rsidP="00ED4B34">
      <w:pPr>
        <w:spacing w:after="0" w:line="240" w:lineRule="auto"/>
      </w:pPr>
      <w:r>
        <w:separator/>
      </w:r>
    </w:p>
  </w:endnote>
  <w:endnote w:type="continuationSeparator" w:id="0">
    <w:p w14:paraId="3FCB643A" w14:textId="77777777" w:rsidR="008F4575" w:rsidRDefault="008F4575" w:rsidP="00ED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720E5" w14:textId="77777777" w:rsidR="008F4575" w:rsidRDefault="008F4575" w:rsidP="00ED4B34">
      <w:pPr>
        <w:spacing w:after="0" w:line="240" w:lineRule="auto"/>
      </w:pPr>
      <w:r>
        <w:separator/>
      </w:r>
    </w:p>
  </w:footnote>
  <w:footnote w:type="continuationSeparator" w:id="0">
    <w:p w14:paraId="04E320FB" w14:textId="77777777" w:rsidR="008F4575" w:rsidRDefault="008F4575" w:rsidP="00ED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4F8"/>
    <w:multiLevelType w:val="hybridMultilevel"/>
    <w:tmpl w:val="32C661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284"/>
    <w:multiLevelType w:val="hybridMultilevel"/>
    <w:tmpl w:val="74CAE48E"/>
    <w:lvl w:ilvl="0" w:tplc="05866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7BAB"/>
    <w:multiLevelType w:val="hybridMultilevel"/>
    <w:tmpl w:val="32C661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A1B55"/>
    <w:multiLevelType w:val="hybridMultilevel"/>
    <w:tmpl w:val="32C661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3C1"/>
    <w:multiLevelType w:val="hybridMultilevel"/>
    <w:tmpl w:val="32C661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F56BC"/>
    <w:multiLevelType w:val="hybridMultilevel"/>
    <w:tmpl w:val="32C661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93564"/>
    <w:multiLevelType w:val="hybridMultilevel"/>
    <w:tmpl w:val="1B52676E"/>
    <w:lvl w:ilvl="0" w:tplc="4BD6AA14">
      <w:start w:val="1"/>
      <w:numFmt w:val="decimal"/>
      <w:lvlText w:val="%1."/>
      <w:lvlJc w:val="left"/>
      <w:pPr>
        <w:ind w:left="720" w:hanging="360"/>
      </w:pPr>
    </w:lvl>
    <w:lvl w:ilvl="1" w:tplc="5074C49E">
      <w:start w:val="1"/>
      <w:numFmt w:val="lowerLetter"/>
      <w:lvlText w:val="%2."/>
      <w:lvlJc w:val="left"/>
      <w:pPr>
        <w:ind w:left="1440" w:hanging="360"/>
      </w:pPr>
    </w:lvl>
    <w:lvl w:ilvl="2" w:tplc="69F66D9E">
      <w:start w:val="1"/>
      <w:numFmt w:val="lowerRoman"/>
      <w:lvlText w:val="%3."/>
      <w:lvlJc w:val="right"/>
      <w:pPr>
        <w:ind w:left="2160" w:hanging="180"/>
      </w:pPr>
    </w:lvl>
    <w:lvl w:ilvl="3" w:tplc="C26EA64E">
      <w:start w:val="1"/>
      <w:numFmt w:val="decimal"/>
      <w:lvlText w:val="%4."/>
      <w:lvlJc w:val="left"/>
      <w:pPr>
        <w:ind w:left="2880" w:hanging="360"/>
      </w:pPr>
    </w:lvl>
    <w:lvl w:ilvl="4" w:tplc="AF7833A8">
      <w:start w:val="1"/>
      <w:numFmt w:val="lowerLetter"/>
      <w:lvlText w:val="%5."/>
      <w:lvlJc w:val="left"/>
      <w:pPr>
        <w:ind w:left="3600" w:hanging="360"/>
      </w:pPr>
    </w:lvl>
    <w:lvl w:ilvl="5" w:tplc="3830E960">
      <w:start w:val="1"/>
      <w:numFmt w:val="lowerRoman"/>
      <w:lvlText w:val="%6."/>
      <w:lvlJc w:val="right"/>
      <w:pPr>
        <w:ind w:left="4320" w:hanging="180"/>
      </w:pPr>
    </w:lvl>
    <w:lvl w:ilvl="6" w:tplc="CE0078E2">
      <w:start w:val="1"/>
      <w:numFmt w:val="decimal"/>
      <w:lvlText w:val="%7."/>
      <w:lvlJc w:val="left"/>
      <w:pPr>
        <w:ind w:left="5040" w:hanging="360"/>
      </w:pPr>
    </w:lvl>
    <w:lvl w:ilvl="7" w:tplc="EAE25EA0">
      <w:start w:val="1"/>
      <w:numFmt w:val="lowerLetter"/>
      <w:lvlText w:val="%8."/>
      <w:lvlJc w:val="left"/>
      <w:pPr>
        <w:ind w:left="5760" w:hanging="360"/>
      </w:pPr>
    </w:lvl>
    <w:lvl w:ilvl="8" w:tplc="789C84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667B"/>
    <w:multiLevelType w:val="hybridMultilevel"/>
    <w:tmpl w:val="32C661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E607D"/>
    <w:multiLevelType w:val="hybridMultilevel"/>
    <w:tmpl w:val="32C661F2"/>
    <w:lvl w:ilvl="0" w:tplc="080A0011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37" w:hanging="360"/>
      </w:pPr>
    </w:lvl>
    <w:lvl w:ilvl="2" w:tplc="080A001B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5"/>
    <w:rsid w:val="00022F5C"/>
    <w:rsid w:val="00046DB5"/>
    <w:rsid w:val="00072B43"/>
    <w:rsid w:val="000742A2"/>
    <w:rsid w:val="00077F16"/>
    <w:rsid w:val="0008735F"/>
    <w:rsid w:val="000A11D0"/>
    <w:rsid w:val="000C7397"/>
    <w:rsid w:val="000D2A0F"/>
    <w:rsid w:val="001243DA"/>
    <w:rsid w:val="00124919"/>
    <w:rsid w:val="00131A4F"/>
    <w:rsid w:val="001329D9"/>
    <w:rsid w:val="0013791B"/>
    <w:rsid w:val="00146E4F"/>
    <w:rsid w:val="001544A8"/>
    <w:rsid w:val="00154EBC"/>
    <w:rsid w:val="0016548D"/>
    <w:rsid w:val="00175D39"/>
    <w:rsid w:val="001778D7"/>
    <w:rsid w:val="00221EF9"/>
    <w:rsid w:val="0023317F"/>
    <w:rsid w:val="00233FA5"/>
    <w:rsid w:val="00247E53"/>
    <w:rsid w:val="00256D55"/>
    <w:rsid w:val="00261CBF"/>
    <w:rsid w:val="00280CFC"/>
    <w:rsid w:val="00282F6E"/>
    <w:rsid w:val="002955B7"/>
    <w:rsid w:val="002A3598"/>
    <w:rsid w:val="002C7F33"/>
    <w:rsid w:val="002D47AE"/>
    <w:rsid w:val="002E264A"/>
    <w:rsid w:val="002E43A1"/>
    <w:rsid w:val="0030173A"/>
    <w:rsid w:val="00310733"/>
    <w:rsid w:val="00311599"/>
    <w:rsid w:val="00313764"/>
    <w:rsid w:val="003152C9"/>
    <w:rsid w:val="00321375"/>
    <w:rsid w:val="00331C28"/>
    <w:rsid w:val="00332B9C"/>
    <w:rsid w:val="003578AD"/>
    <w:rsid w:val="00372476"/>
    <w:rsid w:val="00384C85"/>
    <w:rsid w:val="00385F43"/>
    <w:rsid w:val="0039638B"/>
    <w:rsid w:val="003A7B11"/>
    <w:rsid w:val="003C756B"/>
    <w:rsid w:val="00402131"/>
    <w:rsid w:val="00431A27"/>
    <w:rsid w:val="0044658F"/>
    <w:rsid w:val="00454744"/>
    <w:rsid w:val="0045560D"/>
    <w:rsid w:val="00482499"/>
    <w:rsid w:val="00494869"/>
    <w:rsid w:val="004A3960"/>
    <w:rsid w:val="004A3D5A"/>
    <w:rsid w:val="004C0147"/>
    <w:rsid w:val="004C1932"/>
    <w:rsid w:val="004D4878"/>
    <w:rsid w:val="004F112B"/>
    <w:rsid w:val="00500E34"/>
    <w:rsid w:val="00507D77"/>
    <w:rsid w:val="00513628"/>
    <w:rsid w:val="00545A66"/>
    <w:rsid w:val="005475C0"/>
    <w:rsid w:val="00557B46"/>
    <w:rsid w:val="00561D3A"/>
    <w:rsid w:val="00573CAD"/>
    <w:rsid w:val="005873CF"/>
    <w:rsid w:val="00587467"/>
    <w:rsid w:val="00587AFB"/>
    <w:rsid w:val="005A4B2B"/>
    <w:rsid w:val="005B07AC"/>
    <w:rsid w:val="005C199E"/>
    <w:rsid w:val="005E4C9A"/>
    <w:rsid w:val="00613ED2"/>
    <w:rsid w:val="0064224E"/>
    <w:rsid w:val="006438AD"/>
    <w:rsid w:val="0067581D"/>
    <w:rsid w:val="00675A96"/>
    <w:rsid w:val="00691C7A"/>
    <w:rsid w:val="006932EC"/>
    <w:rsid w:val="006B76AC"/>
    <w:rsid w:val="006D3181"/>
    <w:rsid w:val="006D52E2"/>
    <w:rsid w:val="00727641"/>
    <w:rsid w:val="0073285F"/>
    <w:rsid w:val="007422CE"/>
    <w:rsid w:val="00760181"/>
    <w:rsid w:val="00766B33"/>
    <w:rsid w:val="00780AF5"/>
    <w:rsid w:val="00792334"/>
    <w:rsid w:val="00792B11"/>
    <w:rsid w:val="007A324D"/>
    <w:rsid w:val="007A6CFB"/>
    <w:rsid w:val="007B59C2"/>
    <w:rsid w:val="007B6741"/>
    <w:rsid w:val="007D28B5"/>
    <w:rsid w:val="007D7E43"/>
    <w:rsid w:val="007E491F"/>
    <w:rsid w:val="00806B97"/>
    <w:rsid w:val="0082542B"/>
    <w:rsid w:val="0083559C"/>
    <w:rsid w:val="00842BC3"/>
    <w:rsid w:val="00845035"/>
    <w:rsid w:val="0089340D"/>
    <w:rsid w:val="008A0B42"/>
    <w:rsid w:val="008A364B"/>
    <w:rsid w:val="008A4B96"/>
    <w:rsid w:val="008B285D"/>
    <w:rsid w:val="008B3B74"/>
    <w:rsid w:val="008B78B3"/>
    <w:rsid w:val="008E54DA"/>
    <w:rsid w:val="008F4575"/>
    <w:rsid w:val="008F5BAA"/>
    <w:rsid w:val="0090402A"/>
    <w:rsid w:val="00914365"/>
    <w:rsid w:val="00924DF4"/>
    <w:rsid w:val="0093623B"/>
    <w:rsid w:val="009406CB"/>
    <w:rsid w:val="009477B7"/>
    <w:rsid w:val="00957F23"/>
    <w:rsid w:val="00960CA0"/>
    <w:rsid w:val="0096398C"/>
    <w:rsid w:val="00980DE5"/>
    <w:rsid w:val="009942A9"/>
    <w:rsid w:val="009A27B8"/>
    <w:rsid w:val="009A360F"/>
    <w:rsid w:val="009A5658"/>
    <w:rsid w:val="009A5A8A"/>
    <w:rsid w:val="009D0319"/>
    <w:rsid w:val="009D3636"/>
    <w:rsid w:val="009E2715"/>
    <w:rsid w:val="009F3EB8"/>
    <w:rsid w:val="00A03312"/>
    <w:rsid w:val="00A2538A"/>
    <w:rsid w:val="00A43AB1"/>
    <w:rsid w:val="00A46793"/>
    <w:rsid w:val="00A648BA"/>
    <w:rsid w:val="00A7214E"/>
    <w:rsid w:val="00A72CF8"/>
    <w:rsid w:val="00A7405B"/>
    <w:rsid w:val="00A925AC"/>
    <w:rsid w:val="00AA3F03"/>
    <w:rsid w:val="00AA6F33"/>
    <w:rsid w:val="00AB0BA8"/>
    <w:rsid w:val="00AB1833"/>
    <w:rsid w:val="00AB2429"/>
    <w:rsid w:val="00AC533B"/>
    <w:rsid w:val="00AC68F8"/>
    <w:rsid w:val="00AD7A10"/>
    <w:rsid w:val="00AE0CC2"/>
    <w:rsid w:val="00B0158A"/>
    <w:rsid w:val="00B04FEF"/>
    <w:rsid w:val="00B11E5E"/>
    <w:rsid w:val="00B233C0"/>
    <w:rsid w:val="00B32454"/>
    <w:rsid w:val="00B343AE"/>
    <w:rsid w:val="00B45A3F"/>
    <w:rsid w:val="00B46A03"/>
    <w:rsid w:val="00B60099"/>
    <w:rsid w:val="00B721CC"/>
    <w:rsid w:val="00B75F44"/>
    <w:rsid w:val="00B80781"/>
    <w:rsid w:val="00B83FEE"/>
    <w:rsid w:val="00B85D6B"/>
    <w:rsid w:val="00B906FD"/>
    <w:rsid w:val="00BA66A3"/>
    <w:rsid w:val="00BA7F43"/>
    <w:rsid w:val="00BC437C"/>
    <w:rsid w:val="00BE3A6D"/>
    <w:rsid w:val="00BF7BC2"/>
    <w:rsid w:val="00C01A87"/>
    <w:rsid w:val="00C033D8"/>
    <w:rsid w:val="00C36E5A"/>
    <w:rsid w:val="00C476CB"/>
    <w:rsid w:val="00C5585E"/>
    <w:rsid w:val="00CA0800"/>
    <w:rsid w:val="00CB5E84"/>
    <w:rsid w:val="00CE3E5C"/>
    <w:rsid w:val="00D077BF"/>
    <w:rsid w:val="00D16915"/>
    <w:rsid w:val="00D24BED"/>
    <w:rsid w:val="00D254EB"/>
    <w:rsid w:val="00D341B1"/>
    <w:rsid w:val="00D77DB8"/>
    <w:rsid w:val="00D85D34"/>
    <w:rsid w:val="00D928DF"/>
    <w:rsid w:val="00DA4E35"/>
    <w:rsid w:val="00DA6B35"/>
    <w:rsid w:val="00DC3A40"/>
    <w:rsid w:val="00DC7471"/>
    <w:rsid w:val="00DF16F2"/>
    <w:rsid w:val="00E1008F"/>
    <w:rsid w:val="00E10905"/>
    <w:rsid w:val="00E225FD"/>
    <w:rsid w:val="00E26FB4"/>
    <w:rsid w:val="00E3269C"/>
    <w:rsid w:val="00E41D0D"/>
    <w:rsid w:val="00E45F00"/>
    <w:rsid w:val="00E5763B"/>
    <w:rsid w:val="00E75345"/>
    <w:rsid w:val="00ED37FA"/>
    <w:rsid w:val="00ED4B34"/>
    <w:rsid w:val="00EE0463"/>
    <w:rsid w:val="00EE5890"/>
    <w:rsid w:val="00EF4315"/>
    <w:rsid w:val="00EF4F0B"/>
    <w:rsid w:val="00EF6872"/>
    <w:rsid w:val="00F056EA"/>
    <w:rsid w:val="00F11C0B"/>
    <w:rsid w:val="00F27FDC"/>
    <w:rsid w:val="00F46E2C"/>
    <w:rsid w:val="00F62E9D"/>
    <w:rsid w:val="00F8533C"/>
    <w:rsid w:val="00FC0893"/>
    <w:rsid w:val="00FF240C"/>
    <w:rsid w:val="03E75973"/>
    <w:rsid w:val="057D14C4"/>
    <w:rsid w:val="05E73855"/>
    <w:rsid w:val="085A0A81"/>
    <w:rsid w:val="08FA29FC"/>
    <w:rsid w:val="0AE4B6BA"/>
    <w:rsid w:val="0C02EDF4"/>
    <w:rsid w:val="0C916465"/>
    <w:rsid w:val="0CFF58AA"/>
    <w:rsid w:val="0DABC4CC"/>
    <w:rsid w:val="0E59796E"/>
    <w:rsid w:val="0E62561D"/>
    <w:rsid w:val="0F685006"/>
    <w:rsid w:val="10521F04"/>
    <w:rsid w:val="12546DFE"/>
    <w:rsid w:val="162BB4E7"/>
    <w:rsid w:val="175F9246"/>
    <w:rsid w:val="19405B98"/>
    <w:rsid w:val="1B0D373F"/>
    <w:rsid w:val="1BEFD203"/>
    <w:rsid w:val="1C93C37E"/>
    <w:rsid w:val="1E5E7211"/>
    <w:rsid w:val="1ED15A0B"/>
    <w:rsid w:val="26248471"/>
    <w:rsid w:val="26F6038C"/>
    <w:rsid w:val="2872DF7C"/>
    <w:rsid w:val="288FFC72"/>
    <w:rsid w:val="3188C6D2"/>
    <w:rsid w:val="3397201F"/>
    <w:rsid w:val="36A4003C"/>
    <w:rsid w:val="3743E5F8"/>
    <w:rsid w:val="375B6D29"/>
    <w:rsid w:val="37A7D158"/>
    <w:rsid w:val="38A6FDB3"/>
    <w:rsid w:val="3BA5969B"/>
    <w:rsid w:val="3BFE1D0F"/>
    <w:rsid w:val="3D0D4D57"/>
    <w:rsid w:val="3E357B68"/>
    <w:rsid w:val="3EDC46D1"/>
    <w:rsid w:val="40493900"/>
    <w:rsid w:val="40D80FFB"/>
    <w:rsid w:val="40F5FCBA"/>
    <w:rsid w:val="4484A423"/>
    <w:rsid w:val="456D7381"/>
    <w:rsid w:val="46A3FBD9"/>
    <w:rsid w:val="46F97981"/>
    <w:rsid w:val="496F00E2"/>
    <w:rsid w:val="49EA4ED6"/>
    <w:rsid w:val="4BCA9857"/>
    <w:rsid w:val="4BEF0FBB"/>
    <w:rsid w:val="4EFDBBBD"/>
    <w:rsid w:val="509C254C"/>
    <w:rsid w:val="50C7ADF8"/>
    <w:rsid w:val="517536FF"/>
    <w:rsid w:val="51B3A20D"/>
    <w:rsid w:val="52824257"/>
    <w:rsid w:val="541669D1"/>
    <w:rsid w:val="5448879E"/>
    <w:rsid w:val="56FB41C1"/>
    <w:rsid w:val="57830692"/>
    <w:rsid w:val="5E88E25C"/>
    <w:rsid w:val="5F9E2559"/>
    <w:rsid w:val="6043051E"/>
    <w:rsid w:val="605D05DA"/>
    <w:rsid w:val="618044F2"/>
    <w:rsid w:val="63552E40"/>
    <w:rsid w:val="65D23C8A"/>
    <w:rsid w:val="67723B6F"/>
    <w:rsid w:val="6B641A76"/>
    <w:rsid w:val="6B6D830A"/>
    <w:rsid w:val="6BB44061"/>
    <w:rsid w:val="6D1C1943"/>
    <w:rsid w:val="6D2EF6C2"/>
    <w:rsid w:val="6DAF2917"/>
    <w:rsid w:val="6E02F063"/>
    <w:rsid w:val="6E530440"/>
    <w:rsid w:val="6F33A27A"/>
    <w:rsid w:val="70761786"/>
    <w:rsid w:val="75F9839D"/>
    <w:rsid w:val="7841036C"/>
    <w:rsid w:val="792420E5"/>
    <w:rsid w:val="796F5220"/>
    <w:rsid w:val="7AD3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DC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1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4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32B9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32B9C"/>
  </w:style>
  <w:style w:type="paragraph" w:styleId="Prrafodelista">
    <w:name w:val="List Paragraph"/>
    <w:basedOn w:val="Normal"/>
    <w:uiPriority w:val="34"/>
    <w:qFormat/>
    <w:rsid w:val="003C756B"/>
    <w:pPr>
      <w:ind w:left="720"/>
      <w:contextualSpacing/>
    </w:pPr>
  </w:style>
  <w:style w:type="character" w:customStyle="1" w:styleId="highwire-citation-authors">
    <w:name w:val="highwire-citation-authors"/>
    <w:basedOn w:val="Fuentedeprrafopredeter"/>
    <w:rsid w:val="00AB1833"/>
  </w:style>
  <w:style w:type="character" w:customStyle="1" w:styleId="highwire-citation-author">
    <w:name w:val="highwire-citation-author"/>
    <w:basedOn w:val="Fuentedeprrafopredeter"/>
    <w:rsid w:val="00AB1833"/>
  </w:style>
  <w:style w:type="character" w:customStyle="1" w:styleId="Ttulo1Car">
    <w:name w:val="Título 1 Car"/>
    <w:basedOn w:val="Fuentedeprrafopredeter"/>
    <w:link w:val="Ttulo1"/>
    <w:uiPriority w:val="9"/>
    <w:rsid w:val="00AB1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highwire-cite-metadata-doi">
    <w:name w:val="highwire-cite-metadata-doi"/>
    <w:basedOn w:val="Fuentedeprrafopredeter"/>
    <w:rsid w:val="002A3598"/>
  </w:style>
  <w:style w:type="character" w:customStyle="1" w:styleId="metadata-label">
    <w:name w:val="metadata-label"/>
    <w:basedOn w:val="Fuentedeprrafopredeter"/>
    <w:rsid w:val="002A3598"/>
  </w:style>
  <w:style w:type="character" w:customStyle="1" w:styleId="highwire-cite-metadata-date">
    <w:name w:val="highwire-cite-metadata-date"/>
    <w:basedOn w:val="Fuentedeprrafopredeter"/>
    <w:rsid w:val="002A3598"/>
  </w:style>
  <w:style w:type="character" w:customStyle="1" w:styleId="cit">
    <w:name w:val="cit"/>
    <w:basedOn w:val="Fuentedeprrafopredeter"/>
    <w:rsid w:val="00B0158A"/>
  </w:style>
  <w:style w:type="character" w:styleId="Refdecomentario">
    <w:name w:val="annotation reference"/>
    <w:basedOn w:val="Fuentedeprrafopredeter"/>
    <w:uiPriority w:val="99"/>
    <w:semiHidden/>
    <w:unhideWhenUsed/>
    <w:rsid w:val="009A27B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27B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27B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27B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27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27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8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FC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Fuentedeprrafopredeter"/>
    <w:rsid w:val="00ED4B34"/>
  </w:style>
  <w:style w:type="character" w:customStyle="1" w:styleId="google-src-text1">
    <w:name w:val="google-src-text1"/>
    <w:basedOn w:val="Fuentedeprrafopredeter"/>
    <w:rsid w:val="00ED4B34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unhideWhenUsed/>
    <w:rsid w:val="00ED4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B34"/>
  </w:style>
  <w:style w:type="paragraph" w:styleId="Piedepgina">
    <w:name w:val="footer"/>
    <w:basedOn w:val="Normal"/>
    <w:link w:val="PiedepginaCar"/>
    <w:uiPriority w:val="99"/>
    <w:unhideWhenUsed/>
    <w:rsid w:val="00ED4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B34"/>
  </w:style>
  <w:style w:type="character" w:styleId="Textodelmarcadordeposicin">
    <w:name w:val="Placeholder Text"/>
    <w:basedOn w:val="Fuentedeprrafopredeter"/>
    <w:uiPriority w:val="99"/>
    <w:semiHidden/>
    <w:rsid w:val="00A92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Radic%20M%5BAuthor%5D&amp;cauthor=true&amp;cauthor_uid=22956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Kaplan%20MJ%5BAuthor%5D&amp;cauthor=true&amp;cauthor_uid=229567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entrez/eutils/elink.fcgi?dbfrom=pubmed&amp;retmode=ref&amp;cmd=prlinks&amp;id=229567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3150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veronica flores</cp:lastModifiedBy>
  <cp:revision>7</cp:revision>
  <dcterms:created xsi:type="dcterms:W3CDTF">2017-08-31T20:07:00Z</dcterms:created>
  <dcterms:modified xsi:type="dcterms:W3CDTF">2017-08-31T20:30:00Z</dcterms:modified>
</cp:coreProperties>
</file>