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D3" w:rsidRPr="0032519C" w:rsidRDefault="006C16D3" w:rsidP="00F2237E">
      <w:pPr>
        <w:spacing w:line="276" w:lineRule="auto"/>
        <w:jc w:val="center"/>
        <w:rPr>
          <w:rFonts w:ascii="Arial" w:hAnsi="Arial" w:cs="Arial"/>
          <w:b/>
          <w:sz w:val="24"/>
          <w:szCs w:val="24"/>
        </w:rPr>
      </w:pPr>
      <w:r w:rsidRPr="0032519C">
        <w:rPr>
          <w:rFonts w:ascii="Arial" w:hAnsi="Arial" w:cs="Arial"/>
          <w:b/>
          <w:sz w:val="24"/>
          <w:szCs w:val="24"/>
        </w:rPr>
        <w:t xml:space="preserve">FRACCIONAMIENTO CROMATOGRÁFICO PRELIMINAR Y DETERMINACIÓN DE LA TOXICIDAD ORAL AGUDA DE </w:t>
      </w:r>
      <w:r w:rsidRPr="0032519C">
        <w:rPr>
          <w:rFonts w:ascii="Arial" w:hAnsi="Arial" w:cs="Arial"/>
          <w:b/>
          <w:i/>
          <w:sz w:val="24"/>
          <w:szCs w:val="24"/>
        </w:rPr>
        <w:t>Guazuma ulmifolia</w:t>
      </w:r>
      <w:r w:rsidRPr="0032519C">
        <w:rPr>
          <w:rFonts w:ascii="Arial" w:hAnsi="Arial" w:cs="Arial"/>
          <w:b/>
          <w:sz w:val="24"/>
          <w:szCs w:val="24"/>
        </w:rPr>
        <w:t xml:space="preserve"> </w:t>
      </w:r>
      <w:r w:rsidR="00B951C3">
        <w:rPr>
          <w:rFonts w:ascii="Arial" w:hAnsi="Arial" w:cs="Arial"/>
          <w:b/>
          <w:sz w:val="24"/>
          <w:szCs w:val="24"/>
        </w:rPr>
        <w:t>L</w:t>
      </w:r>
      <w:r w:rsidR="00B951C3" w:rsidRPr="0032519C">
        <w:rPr>
          <w:rFonts w:ascii="Arial" w:hAnsi="Arial" w:cs="Arial"/>
          <w:b/>
          <w:sz w:val="24"/>
          <w:szCs w:val="24"/>
        </w:rPr>
        <w:t xml:space="preserve">am </w:t>
      </w:r>
      <w:r w:rsidRPr="0032519C">
        <w:rPr>
          <w:rFonts w:ascii="Arial" w:hAnsi="Arial" w:cs="Arial"/>
          <w:b/>
          <w:sz w:val="24"/>
          <w:szCs w:val="24"/>
        </w:rPr>
        <w:t>(MALVACEAE/STERCULIACEAE).</w:t>
      </w:r>
    </w:p>
    <w:p w:rsidR="006C16D3" w:rsidRPr="0032519C" w:rsidRDefault="006C16D3" w:rsidP="00F2237E">
      <w:pPr>
        <w:spacing w:line="276" w:lineRule="auto"/>
        <w:jc w:val="both"/>
        <w:rPr>
          <w:rFonts w:ascii="Arial" w:hAnsi="Arial" w:cs="Arial"/>
          <w:b/>
          <w:sz w:val="24"/>
          <w:szCs w:val="24"/>
        </w:rPr>
      </w:pPr>
    </w:p>
    <w:p w:rsidR="006C16D3" w:rsidRPr="0032519C" w:rsidRDefault="00B951C3" w:rsidP="00F2237E">
      <w:pPr>
        <w:spacing w:line="276" w:lineRule="auto"/>
        <w:jc w:val="both"/>
        <w:rPr>
          <w:rFonts w:ascii="Arial" w:hAnsi="Arial" w:cs="Arial"/>
          <w:sz w:val="21"/>
          <w:szCs w:val="21"/>
          <w:vertAlign w:val="superscript"/>
          <w:lang w:val="es-ES_tradnl"/>
        </w:rPr>
      </w:pPr>
      <w:r>
        <w:rPr>
          <w:rFonts w:ascii="Arial" w:hAnsi="Arial" w:cs="Arial"/>
          <w:b/>
          <w:sz w:val="21"/>
          <w:szCs w:val="21"/>
          <w:lang w:val="es-ES_tradnl"/>
        </w:rPr>
        <w:t xml:space="preserve">Gabriela </w:t>
      </w:r>
      <w:r w:rsidR="006C16D3" w:rsidRPr="0032519C">
        <w:rPr>
          <w:rFonts w:ascii="Arial" w:hAnsi="Arial" w:cs="Arial"/>
          <w:b/>
          <w:sz w:val="21"/>
          <w:szCs w:val="21"/>
          <w:lang w:val="es-ES_tradnl"/>
        </w:rPr>
        <w:t>V</w:t>
      </w:r>
      <w:r>
        <w:rPr>
          <w:rFonts w:ascii="Arial" w:hAnsi="Arial" w:cs="Arial"/>
          <w:b/>
          <w:sz w:val="21"/>
          <w:szCs w:val="21"/>
          <w:lang w:val="es-ES_tradnl"/>
        </w:rPr>
        <w:t>ictoria Ruiz Castillo</w:t>
      </w:r>
      <w:r w:rsidR="006C16D3" w:rsidRPr="0032519C">
        <w:rPr>
          <w:rFonts w:ascii="Arial" w:hAnsi="Arial" w:cs="Arial"/>
          <w:b/>
          <w:sz w:val="21"/>
          <w:szCs w:val="21"/>
          <w:vertAlign w:val="superscript"/>
          <w:lang w:val="es-ES_tradnl"/>
        </w:rPr>
        <w:t>1,2</w:t>
      </w:r>
      <w:r w:rsidR="006C16D3" w:rsidRPr="0032519C">
        <w:rPr>
          <w:rFonts w:ascii="Arial" w:hAnsi="Arial" w:cs="Arial"/>
          <w:sz w:val="21"/>
          <w:szCs w:val="21"/>
          <w:lang w:val="es-ES_tradnl"/>
        </w:rPr>
        <w:t xml:space="preserve">, M en C. </w:t>
      </w:r>
      <w:r>
        <w:rPr>
          <w:rFonts w:ascii="Arial" w:hAnsi="Arial" w:cs="Arial"/>
          <w:sz w:val="21"/>
          <w:szCs w:val="21"/>
          <w:lang w:val="es-ES_tradnl"/>
        </w:rPr>
        <w:t xml:space="preserve">Ana María </w:t>
      </w:r>
      <w:r w:rsidR="006C16D3" w:rsidRPr="0032519C">
        <w:rPr>
          <w:rFonts w:ascii="Arial" w:hAnsi="Arial" w:cs="Arial"/>
          <w:sz w:val="21"/>
          <w:szCs w:val="21"/>
          <w:lang w:val="es-ES_tradnl"/>
        </w:rPr>
        <w:t>Hanan Alipi</w:t>
      </w:r>
      <w:r w:rsidR="006C16D3" w:rsidRPr="0032519C">
        <w:rPr>
          <w:rFonts w:ascii="Arial" w:hAnsi="Arial" w:cs="Arial"/>
          <w:sz w:val="21"/>
          <w:szCs w:val="21"/>
          <w:vertAlign w:val="superscript"/>
          <w:lang w:val="es-ES_tradnl"/>
        </w:rPr>
        <w:t>3</w:t>
      </w:r>
      <w:r w:rsidR="006C16D3" w:rsidRPr="0032519C">
        <w:rPr>
          <w:rFonts w:ascii="Arial" w:hAnsi="Arial" w:cs="Arial"/>
          <w:sz w:val="21"/>
          <w:szCs w:val="21"/>
          <w:lang w:val="es-ES_tradnl"/>
        </w:rPr>
        <w:t xml:space="preserve">, Dra. </w:t>
      </w:r>
      <w:r>
        <w:rPr>
          <w:rFonts w:ascii="Arial" w:hAnsi="Arial" w:cs="Arial"/>
          <w:sz w:val="21"/>
          <w:szCs w:val="21"/>
          <w:lang w:val="es-ES_tradnl"/>
        </w:rPr>
        <w:t xml:space="preserve">Angélica Berenice </w:t>
      </w:r>
      <w:r w:rsidR="006C16D3" w:rsidRPr="0032519C">
        <w:rPr>
          <w:rFonts w:ascii="Arial" w:hAnsi="Arial" w:cs="Arial"/>
          <w:sz w:val="21"/>
          <w:szCs w:val="21"/>
          <w:lang w:val="es-ES_tradnl"/>
        </w:rPr>
        <w:t>Aguilar Guadarrama</w:t>
      </w:r>
      <w:r w:rsidR="006C16D3" w:rsidRPr="0032519C">
        <w:rPr>
          <w:rFonts w:ascii="Arial" w:hAnsi="Arial" w:cs="Arial"/>
          <w:sz w:val="21"/>
          <w:szCs w:val="21"/>
          <w:vertAlign w:val="superscript"/>
          <w:lang w:val="es-ES_tradnl"/>
        </w:rPr>
        <w:t>5</w:t>
      </w:r>
      <w:r>
        <w:rPr>
          <w:rFonts w:ascii="Arial" w:hAnsi="Arial" w:cs="Arial"/>
          <w:sz w:val="21"/>
          <w:szCs w:val="21"/>
          <w:lang w:val="es-ES_tradnl"/>
        </w:rPr>
        <w:t>, Dr. Javier Germán Rodríguez Carpena</w:t>
      </w:r>
      <w:r w:rsidR="006C16D3" w:rsidRPr="0032519C">
        <w:rPr>
          <w:rFonts w:ascii="Arial" w:hAnsi="Arial" w:cs="Arial"/>
          <w:sz w:val="21"/>
          <w:szCs w:val="21"/>
          <w:vertAlign w:val="superscript"/>
          <w:lang w:val="es-ES_tradnl"/>
        </w:rPr>
        <w:t>4</w:t>
      </w:r>
      <w:r w:rsidR="006C16D3" w:rsidRPr="0032519C">
        <w:rPr>
          <w:rFonts w:ascii="Arial" w:hAnsi="Arial" w:cs="Arial"/>
          <w:sz w:val="21"/>
          <w:szCs w:val="21"/>
          <w:lang w:val="es-ES_tradnl"/>
        </w:rPr>
        <w:t xml:space="preserve">, Dr. en F. </w:t>
      </w:r>
      <w:r>
        <w:rPr>
          <w:rFonts w:ascii="Arial" w:hAnsi="Arial" w:cs="Arial"/>
          <w:sz w:val="21"/>
          <w:szCs w:val="21"/>
          <w:lang w:val="es-ES_tradnl"/>
        </w:rPr>
        <w:t xml:space="preserve">Gabriela María </w:t>
      </w:r>
      <w:r w:rsidR="006C16D3" w:rsidRPr="0032519C">
        <w:rPr>
          <w:rFonts w:ascii="Arial" w:hAnsi="Arial" w:cs="Arial"/>
          <w:sz w:val="21"/>
          <w:szCs w:val="21"/>
          <w:lang w:val="es-ES_tradnl"/>
        </w:rPr>
        <w:t>Ávila Villarreal.</w:t>
      </w:r>
      <w:r w:rsidR="006C16D3" w:rsidRPr="0032519C">
        <w:rPr>
          <w:rFonts w:ascii="Arial" w:hAnsi="Arial" w:cs="Arial"/>
          <w:sz w:val="21"/>
          <w:szCs w:val="21"/>
          <w:vertAlign w:val="superscript"/>
          <w:lang w:val="es-ES_tradnl"/>
        </w:rPr>
        <w:t>1,2</w:t>
      </w:r>
    </w:p>
    <w:p w:rsidR="006C16D3" w:rsidRPr="0032519C" w:rsidRDefault="006C16D3" w:rsidP="00EB2CE7">
      <w:pPr>
        <w:spacing w:line="276" w:lineRule="auto"/>
        <w:jc w:val="both"/>
        <w:rPr>
          <w:rFonts w:ascii="Arial" w:hAnsi="Arial" w:cs="Arial"/>
          <w:sz w:val="21"/>
          <w:szCs w:val="21"/>
          <w:lang w:val="es-ES_tradnl"/>
        </w:rPr>
      </w:pPr>
      <w:r w:rsidRPr="0032519C">
        <w:rPr>
          <w:rFonts w:ascii="Arial" w:hAnsi="Arial" w:cs="Arial"/>
          <w:sz w:val="21"/>
          <w:szCs w:val="21"/>
          <w:vertAlign w:val="superscript"/>
          <w:lang w:val="es-ES_tradnl"/>
        </w:rPr>
        <w:t>1</w:t>
      </w:r>
      <w:r w:rsidRPr="0032519C">
        <w:rPr>
          <w:rFonts w:ascii="Arial" w:hAnsi="Arial" w:cs="Arial"/>
          <w:sz w:val="21"/>
          <w:szCs w:val="21"/>
          <w:lang w:val="es-ES_tradnl"/>
        </w:rPr>
        <w:t xml:space="preserve">Unidad Académica de Ciencias Químico Biológicas y Farmacéuticas, </w:t>
      </w:r>
      <w:r w:rsidRPr="0032519C">
        <w:rPr>
          <w:rFonts w:ascii="Arial" w:hAnsi="Arial" w:cs="Arial"/>
          <w:sz w:val="21"/>
          <w:szCs w:val="21"/>
          <w:vertAlign w:val="superscript"/>
          <w:lang w:val="es-ES_tradnl"/>
        </w:rPr>
        <w:t>2</w:t>
      </w:r>
      <w:r w:rsidRPr="0032519C">
        <w:rPr>
          <w:rFonts w:ascii="Arial" w:hAnsi="Arial" w:cs="Arial"/>
          <w:sz w:val="21"/>
          <w:szCs w:val="21"/>
          <w:lang w:val="es-ES_tradnl"/>
        </w:rPr>
        <w:t>Centro Nayarita de Innovación y Transferencia de Tecnología "Unidad especializada en I+D+</w:t>
      </w:r>
      <w:r w:rsidRPr="0032519C">
        <w:rPr>
          <w:rFonts w:ascii="Arial" w:hAnsi="Arial" w:cs="Arial"/>
          <w:i/>
          <w:sz w:val="21"/>
          <w:szCs w:val="21"/>
          <w:lang w:val="es-ES_tradnl"/>
        </w:rPr>
        <w:t>i</w:t>
      </w:r>
      <w:r w:rsidR="00DE2206" w:rsidRPr="0032519C">
        <w:rPr>
          <w:rFonts w:ascii="Arial" w:hAnsi="Arial" w:cs="Arial"/>
          <w:i/>
          <w:sz w:val="21"/>
          <w:szCs w:val="21"/>
          <w:lang w:val="es-ES_tradnl"/>
        </w:rPr>
        <w:t xml:space="preserve"> </w:t>
      </w:r>
      <w:r w:rsidRPr="0032519C">
        <w:rPr>
          <w:rFonts w:ascii="Arial" w:hAnsi="Arial" w:cs="Arial"/>
          <w:sz w:val="21"/>
          <w:szCs w:val="21"/>
          <w:lang w:val="es-ES_tradnl"/>
        </w:rPr>
        <w:t xml:space="preserve">en Calidad de Alimentos y Productos Naturales". </w:t>
      </w:r>
      <w:r w:rsidRPr="0032519C">
        <w:rPr>
          <w:rFonts w:ascii="Arial" w:hAnsi="Arial" w:cs="Arial"/>
          <w:sz w:val="21"/>
          <w:szCs w:val="21"/>
          <w:vertAlign w:val="superscript"/>
          <w:lang w:val="es-ES_tradnl"/>
        </w:rPr>
        <w:t>3</w:t>
      </w:r>
      <w:r w:rsidRPr="0032519C">
        <w:rPr>
          <w:rFonts w:ascii="Arial" w:hAnsi="Arial" w:cs="Arial"/>
          <w:sz w:val="21"/>
          <w:szCs w:val="21"/>
          <w:lang w:val="es-ES_tradnl"/>
        </w:rPr>
        <w:t xml:space="preserve"> Unidad Académica de Agricultura, </w:t>
      </w:r>
      <w:r w:rsidRPr="0032519C">
        <w:rPr>
          <w:rFonts w:ascii="Arial" w:hAnsi="Arial" w:cs="Arial"/>
          <w:sz w:val="21"/>
          <w:szCs w:val="21"/>
          <w:vertAlign w:val="superscript"/>
          <w:lang w:val="es-ES_tradnl"/>
        </w:rPr>
        <w:t>4</w:t>
      </w:r>
      <w:r w:rsidRPr="0032519C">
        <w:rPr>
          <w:rFonts w:ascii="Arial" w:hAnsi="Arial" w:cs="Arial"/>
          <w:sz w:val="21"/>
          <w:szCs w:val="21"/>
          <w:lang w:val="es-ES_tradnl"/>
        </w:rPr>
        <w:t>Unidad Académica de Medicina Veterin</w:t>
      </w:r>
      <w:r w:rsidR="00FB47BA" w:rsidRPr="0032519C">
        <w:rPr>
          <w:rFonts w:ascii="Arial" w:hAnsi="Arial" w:cs="Arial"/>
          <w:sz w:val="21"/>
          <w:szCs w:val="21"/>
          <w:lang w:val="es-ES_tradnl"/>
        </w:rPr>
        <w:t>aria y Zootecnia; Universidad A</w:t>
      </w:r>
      <w:r w:rsidRPr="0032519C">
        <w:rPr>
          <w:rFonts w:ascii="Arial" w:hAnsi="Arial" w:cs="Arial"/>
          <w:sz w:val="21"/>
          <w:szCs w:val="21"/>
          <w:lang w:val="es-ES_tradnl"/>
        </w:rPr>
        <w:t>utónoma de Nayarit</w:t>
      </w:r>
      <w:r w:rsidR="00DE2206" w:rsidRPr="0032519C">
        <w:rPr>
          <w:rFonts w:ascii="Arial" w:hAnsi="Arial" w:cs="Arial"/>
          <w:sz w:val="21"/>
          <w:szCs w:val="21"/>
          <w:lang w:val="es-ES_tradnl"/>
        </w:rPr>
        <w:t xml:space="preserve">, </w:t>
      </w:r>
      <w:r w:rsidRPr="0032519C">
        <w:rPr>
          <w:rFonts w:ascii="Arial" w:hAnsi="Arial" w:cs="Arial"/>
          <w:sz w:val="21"/>
          <w:szCs w:val="21"/>
          <w:vertAlign w:val="superscript"/>
          <w:lang w:val="es-ES_tradnl"/>
        </w:rPr>
        <w:t>5</w:t>
      </w:r>
      <w:r w:rsidRPr="0032519C">
        <w:rPr>
          <w:rFonts w:ascii="Arial" w:hAnsi="Arial" w:cs="Arial"/>
          <w:sz w:val="21"/>
          <w:szCs w:val="21"/>
          <w:lang w:val="es-ES_tradnl"/>
        </w:rPr>
        <w:t>Centro de Investigaciones Químicas IICBA, Universidad Autónoma del Estado de Morelos.</w:t>
      </w:r>
    </w:p>
    <w:p w:rsidR="006C16D3" w:rsidRPr="0032519C" w:rsidRDefault="006C16D3" w:rsidP="00EB2CE7">
      <w:pPr>
        <w:spacing w:line="276" w:lineRule="auto"/>
        <w:jc w:val="right"/>
        <w:rPr>
          <w:rFonts w:ascii="Arial" w:hAnsi="Arial" w:cs="Arial"/>
          <w:sz w:val="21"/>
          <w:szCs w:val="21"/>
          <w:lang w:val="es-ES_tradnl"/>
        </w:rPr>
      </w:pPr>
      <w:r w:rsidRPr="0032519C">
        <w:rPr>
          <w:rFonts w:ascii="Arial" w:hAnsi="Arial" w:cs="Arial"/>
          <w:sz w:val="21"/>
          <w:szCs w:val="21"/>
          <w:lang w:val="es-ES_tradnl"/>
        </w:rPr>
        <w:t>victoria.ruiz@uan.edu.mx</w:t>
      </w:r>
    </w:p>
    <w:p w:rsidR="006C16D3" w:rsidRDefault="006C16D3" w:rsidP="00F2237E">
      <w:pPr>
        <w:spacing w:line="276" w:lineRule="auto"/>
        <w:jc w:val="both"/>
        <w:rPr>
          <w:rFonts w:ascii="Arial" w:hAnsi="Arial" w:cs="Arial"/>
          <w:b/>
          <w:sz w:val="24"/>
          <w:szCs w:val="24"/>
          <w:lang w:val="es-ES_tradnl"/>
        </w:rPr>
      </w:pPr>
    </w:p>
    <w:p w:rsidR="006C16D3" w:rsidRPr="00671618" w:rsidRDefault="006C16D3" w:rsidP="00F2237E">
      <w:pPr>
        <w:spacing w:line="276" w:lineRule="auto"/>
        <w:jc w:val="both"/>
        <w:rPr>
          <w:rFonts w:ascii="Arial" w:hAnsi="Arial" w:cs="Arial"/>
          <w:b/>
          <w:sz w:val="24"/>
          <w:szCs w:val="24"/>
          <w:lang w:val="es-ES_tradnl"/>
        </w:rPr>
      </w:pPr>
      <w:r w:rsidRPr="00671618">
        <w:rPr>
          <w:rFonts w:ascii="Arial" w:hAnsi="Arial" w:cs="Arial"/>
          <w:b/>
          <w:sz w:val="24"/>
          <w:szCs w:val="24"/>
          <w:lang w:val="es-ES_tradnl"/>
        </w:rPr>
        <w:t>RESUMEN</w:t>
      </w:r>
    </w:p>
    <w:p w:rsidR="006C16D3" w:rsidRDefault="006C16D3" w:rsidP="00F2237E">
      <w:pPr>
        <w:spacing w:line="276" w:lineRule="auto"/>
        <w:jc w:val="both"/>
        <w:rPr>
          <w:rFonts w:ascii="Arial" w:hAnsi="Arial" w:cs="Arial"/>
          <w:i/>
          <w:sz w:val="24"/>
          <w:szCs w:val="24"/>
        </w:rPr>
      </w:pPr>
      <w:r w:rsidRPr="00671618">
        <w:rPr>
          <w:rFonts w:ascii="Arial" w:hAnsi="Arial" w:cs="Arial"/>
          <w:i/>
          <w:sz w:val="24"/>
          <w:szCs w:val="24"/>
        </w:rPr>
        <w:t>Guazuma ulmifolia es un árbol originario de América y ampliamente distribuido en la república mexicana. En la medicina tradicional es utilizado empíri</w:t>
      </w:r>
      <w:r>
        <w:rPr>
          <w:rFonts w:ascii="Arial" w:hAnsi="Arial" w:cs="Arial"/>
          <w:i/>
          <w:sz w:val="24"/>
          <w:szCs w:val="24"/>
        </w:rPr>
        <w:t>camente para el tratamiento de afecciones y</w:t>
      </w:r>
      <w:r w:rsidRPr="00671618">
        <w:rPr>
          <w:rFonts w:ascii="Arial" w:hAnsi="Arial" w:cs="Arial"/>
          <w:i/>
          <w:sz w:val="24"/>
          <w:szCs w:val="24"/>
        </w:rPr>
        <w:t xml:space="preserve"> enfermedades como gastritis, disentería, sífilis, enfermedades renales y diabetes</w:t>
      </w:r>
      <w:r>
        <w:rPr>
          <w:rFonts w:ascii="Arial" w:hAnsi="Arial" w:cs="Arial"/>
          <w:i/>
          <w:sz w:val="24"/>
          <w:szCs w:val="24"/>
        </w:rPr>
        <w:t xml:space="preserve">, sin embargo la seguridad de su uso no ha sido comprobada científicamente. </w:t>
      </w:r>
      <w:r w:rsidRPr="00671618">
        <w:rPr>
          <w:rFonts w:ascii="Arial" w:hAnsi="Arial" w:cs="Arial"/>
          <w:i/>
          <w:sz w:val="24"/>
          <w:szCs w:val="24"/>
        </w:rPr>
        <w:t>El fraccionamiento prim</w:t>
      </w:r>
      <w:r>
        <w:rPr>
          <w:rFonts w:ascii="Arial" w:hAnsi="Arial" w:cs="Arial"/>
          <w:i/>
          <w:sz w:val="24"/>
          <w:szCs w:val="24"/>
        </w:rPr>
        <w:t>ario nos permitió definir que el</w:t>
      </w:r>
      <w:r w:rsidRPr="00671618">
        <w:rPr>
          <w:rFonts w:ascii="Arial" w:hAnsi="Arial" w:cs="Arial"/>
          <w:i/>
          <w:sz w:val="24"/>
          <w:szCs w:val="24"/>
        </w:rPr>
        <w:t xml:space="preserve"> extracto hidroalcohólico</w:t>
      </w:r>
      <w:r>
        <w:rPr>
          <w:rFonts w:ascii="Arial" w:hAnsi="Arial" w:cs="Arial"/>
          <w:i/>
          <w:sz w:val="24"/>
          <w:szCs w:val="24"/>
        </w:rPr>
        <w:t xml:space="preserve"> de Guazuma ulmifolia </w:t>
      </w:r>
      <w:r w:rsidRPr="00ED4060">
        <w:rPr>
          <w:rFonts w:ascii="Arial" w:hAnsi="Arial" w:cs="Arial"/>
          <w:i/>
          <w:sz w:val="24"/>
          <w:szCs w:val="24"/>
        </w:rPr>
        <w:t>(EHAGu)</w:t>
      </w:r>
      <w:r w:rsidR="00C4095C">
        <w:rPr>
          <w:rFonts w:ascii="Arial" w:hAnsi="Arial" w:cs="Arial"/>
          <w:i/>
          <w:sz w:val="24"/>
          <w:szCs w:val="24"/>
        </w:rPr>
        <w:t xml:space="preserve"> </w:t>
      </w:r>
      <w:r w:rsidRPr="00671618">
        <w:rPr>
          <w:rFonts w:ascii="Arial" w:hAnsi="Arial" w:cs="Arial"/>
          <w:i/>
          <w:sz w:val="24"/>
          <w:szCs w:val="24"/>
        </w:rPr>
        <w:t>está compuesto por al menos 10 compuestos</w:t>
      </w:r>
      <w:r>
        <w:rPr>
          <w:rFonts w:ascii="Arial" w:hAnsi="Arial" w:cs="Arial"/>
          <w:i/>
          <w:sz w:val="24"/>
          <w:szCs w:val="24"/>
        </w:rPr>
        <w:t xml:space="preserve"> mayoritarios</w:t>
      </w:r>
      <w:r w:rsidRPr="00671618">
        <w:rPr>
          <w:rFonts w:ascii="Arial" w:hAnsi="Arial" w:cs="Arial"/>
          <w:i/>
          <w:sz w:val="24"/>
          <w:szCs w:val="24"/>
        </w:rPr>
        <w:t xml:space="preserve">. </w:t>
      </w:r>
      <w:r>
        <w:rPr>
          <w:rFonts w:ascii="Arial" w:hAnsi="Arial" w:cs="Arial"/>
          <w:i/>
          <w:sz w:val="24"/>
          <w:szCs w:val="24"/>
        </w:rPr>
        <w:t xml:space="preserve">Adicionalmente </w:t>
      </w:r>
      <w:r w:rsidRPr="00671618">
        <w:rPr>
          <w:rFonts w:ascii="Arial" w:hAnsi="Arial" w:cs="Arial"/>
          <w:i/>
          <w:sz w:val="24"/>
          <w:szCs w:val="24"/>
        </w:rPr>
        <w:t>se llevó a cabo un estudio in vivo preliminar para determinar la toxicidad oral aguda con un protocolo modificado de la guía 423 para la determinación de la toxicidad oral aguda acorde a los criterios de la Organización para la Cooperación y el Desarrollo Económico (OECD) y así obtener la primera evidencia científica de la seguridad de su uso.</w:t>
      </w:r>
    </w:p>
    <w:p w:rsidR="006C16D3" w:rsidRPr="00F2237E" w:rsidRDefault="006C16D3" w:rsidP="00F2237E">
      <w:pPr>
        <w:spacing w:line="276" w:lineRule="auto"/>
        <w:jc w:val="both"/>
        <w:rPr>
          <w:rFonts w:ascii="Arial" w:hAnsi="Arial" w:cs="Arial"/>
          <w:i/>
          <w:sz w:val="24"/>
          <w:szCs w:val="24"/>
        </w:rPr>
      </w:pPr>
    </w:p>
    <w:p w:rsidR="006C16D3" w:rsidRPr="00DB3780" w:rsidRDefault="006C16D3" w:rsidP="00F2237E">
      <w:pPr>
        <w:spacing w:line="276" w:lineRule="auto"/>
        <w:jc w:val="both"/>
        <w:rPr>
          <w:rFonts w:ascii="Arial" w:hAnsi="Arial" w:cs="Arial"/>
          <w:b/>
          <w:sz w:val="24"/>
          <w:szCs w:val="24"/>
        </w:rPr>
      </w:pPr>
      <w:r>
        <w:rPr>
          <w:rFonts w:ascii="Arial" w:hAnsi="Arial" w:cs="Arial"/>
          <w:b/>
          <w:sz w:val="24"/>
          <w:szCs w:val="24"/>
        </w:rPr>
        <w:t>INTRODUCCIÓN</w:t>
      </w:r>
    </w:p>
    <w:p w:rsidR="006C16D3" w:rsidRDefault="006C16D3" w:rsidP="00F2237E">
      <w:pPr>
        <w:spacing w:line="276" w:lineRule="auto"/>
        <w:jc w:val="both"/>
        <w:rPr>
          <w:rFonts w:ascii="Arial" w:hAnsi="Arial" w:cs="Arial"/>
          <w:sz w:val="24"/>
          <w:szCs w:val="24"/>
        </w:rPr>
      </w:pPr>
      <w:r w:rsidRPr="002D721C">
        <w:rPr>
          <w:rFonts w:ascii="Arial" w:hAnsi="Arial" w:cs="Arial"/>
          <w:i/>
          <w:sz w:val="24"/>
          <w:szCs w:val="24"/>
        </w:rPr>
        <w:t xml:space="preserve">Guazuma ulmifolia </w:t>
      </w:r>
      <w:r w:rsidRPr="002D721C">
        <w:rPr>
          <w:rFonts w:ascii="Arial" w:hAnsi="Arial" w:cs="Arial"/>
          <w:sz w:val="24"/>
          <w:szCs w:val="24"/>
        </w:rPr>
        <w:t>es un árbol mediano qu</w:t>
      </w:r>
      <w:r>
        <w:rPr>
          <w:rFonts w:ascii="Arial" w:hAnsi="Arial" w:cs="Arial"/>
          <w:sz w:val="24"/>
          <w:szCs w:val="24"/>
        </w:rPr>
        <w:t>e puede llegar a medir hasta 25</w:t>
      </w:r>
      <w:r w:rsidRPr="002D721C">
        <w:rPr>
          <w:rFonts w:ascii="Arial" w:hAnsi="Arial" w:cs="Arial"/>
          <w:sz w:val="24"/>
          <w:szCs w:val="24"/>
        </w:rPr>
        <w:t>m</w:t>
      </w:r>
      <w:r>
        <w:rPr>
          <w:rFonts w:ascii="Arial" w:hAnsi="Arial" w:cs="Arial"/>
          <w:sz w:val="24"/>
          <w:szCs w:val="24"/>
        </w:rPr>
        <w:t xml:space="preserve"> de altura y 80</w:t>
      </w:r>
      <w:r w:rsidRPr="002D721C">
        <w:rPr>
          <w:rFonts w:ascii="Arial" w:hAnsi="Arial" w:cs="Arial"/>
          <w:sz w:val="24"/>
          <w:szCs w:val="24"/>
        </w:rPr>
        <w:t>cm de diámetro en su tronco, pero que generalmente es más pequeño</w:t>
      </w:r>
      <w:r w:rsidR="00CF2BBD" w:rsidRPr="00A91CC9">
        <w:rPr>
          <w:rFonts w:ascii="Arial" w:hAnsi="Arial" w:cs="Arial"/>
          <w:sz w:val="24"/>
          <w:szCs w:val="24"/>
        </w:rPr>
        <w:fldChar w:fldCharType="begin"/>
      </w:r>
      <w:r w:rsidRPr="00A91CC9">
        <w:rPr>
          <w:rFonts w:ascii="Arial" w:hAnsi="Arial" w:cs="Arial"/>
          <w:sz w:val="24"/>
          <w:szCs w:val="24"/>
        </w:rPr>
        <w:instrText xml:space="preserve"> QUOTE </w:instrText>
      </w:r>
      <w:r w:rsidR="00B951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2.1pt" equationxml="&lt;">
            <v:imagedata r:id="rId8" o:title="" chromakey="white"/>
          </v:shape>
        </w:pict>
      </w:r>
      <w:r w:rsidR="00CF2BBD" w:rsidRPr="00A91CC9">
        <w:rPr>
          <w:rFonts w:ascii="Arial" w:hAnsi="Arial" w:cs="Arial"/>
          <w:sz w:val="24"/>
          <w:szCs w:val="24"/>
        </w:rPr>
        <w:fldChar w:fldCharType="separate"/>
      </w:r>
      <w:r>
        <w:t>.</w:t>
      </w:r>
      <w:r w:rsidRPr="003F35AF">
        <w:rPr>
          <w:vertAlign w:val="superscript"/>
        </w:rPr>
        <w:t>1</w:t>
      </w:r>
      <w:r w:rsidR="00CF2BBD" w:rsidRPr="00A91CC9">
        <w:rPr>
          <w:rFonts w:ascii="Arial" w:hAnsi="Arial" w:cs="Arial"/>
          <w:sz w:val="24"/>
          <w:szCs w:val="24"/>
        </w:rPr>
        <w:fldChar w:fldCharType="end"/>
      </w:r>
      <w:r w:rsidRPr="002D721C">
        <w:rPr>
          <w:rFonts w:ascii="Arial" w:hAnsi="Arial" w:cs="Arial"/>
          <w:sz w:val="24"/>
          <w:szCs w:val="24"/>
        </w:rPr>
        <w:t xml:space="preserve"> Es originario de América tropical. Su distribución se extiende desde México hasta el noreste de Argentina y el Caribe</w:t>
      </w:r>
      <w:r w:rsidR="00CF2BBD" w:rsidRPr="00A91CC9">
        <w:rPr>
          <w:rFonts w:ascii="Arial" w:hAnsi="Arial" w:cs="Arial"/>
          <w:sz w:val="24"/>
          <w:szCs w:val="24"/>
        </w:rPr>
        <w:fldChar w:fldCharType="begin"/>
      </w:r>
      <w:r w:rsidRPr="00A91CC9">
        <w:rPr>
          <w:rFonts w:ascii="Arial" w:hAnsi="Arial" w:cs="Arial"/>
          <w:sz w:val="24"/>
          <w:szCs w:val="24"/>
        </w:rPr>
        <w:instrText xml:space="preserve"> QUOTE </w:instrText>
      </w:r>
      <w:r w:rsidR="00B951C3">
        <w:pict>
          <v:shape id="_x0000_i1026" type="#_x0000_t75" style="width:9.8pt;height:12.1pt" equationxml="&lt;">
            <v:imagedata r:id="rId9" o:title="" chromakey="white"/>
          </v:shape>
        </w:pict>
      </w:r>
      <w:r w:rsidR="00CF2BBD" w:rsidRPr="00A91CC9">
        <w:rPr>
          <w:rFonts w:ascii="Arial" w:hAnsi="Arial" w:cs="Arial"/>
          <w:sz w:val="24"/>
          <w:szCs w:val="24"/>
        </w:rPr>
        <w:fldChar w:fldCharType="separate"/>
      </w:r>
      <w:r>
        <w:t>.</w:t>
      </w:r>
      <w:r w:rsidRPr="003F35AF">
        <w:rPr>
          <w:vertAlign w:val="superscript"/>
        </w:rPr>
        <w:t>2</w:t>
      </w:r>
      <w:r w:rsidR="00CF2BBD" w:rsidRPr="00A91CC9">
        <w:rPr>
          <w:rFonts w:ascii="Arial" w:hAnsi="Arial" w:cs="Arial"/>
          <w:sz w:val="24"/>
          <w:szCs w:val="24"/>
        </w:rPr>
        <w:fldChar w:fldCharType="end"/>
      </w:r>
      <w:r w:rsidRPr="00671618">
        <w:rPr>
          <w:rFonts w:ascii="Arial" w:hAnsi="Arial" w:cs="Arial"/>
          <w:sz w:val="24"/>
          <w:szCs w:val="24"/>
        </w:rPr>
        <w:t>En México crece a lo largo de la costa del Océano Pacífico hacia el sur, hasta el Istmo de Tehuantepec y a lo largo de la costa del Golfo de México, incluida la Península de Yucatán. Se puede encontrar en los estados de Campeche, Colima, Chiapas, Chihuahua, Guanajuato, Guerrero, Hidalgo, Jalisco, México, Michoacán, Nayarit, Oaxaca, Puebla, Querétaro, Quintana Roo, San Luis Potosí, Sinaloa, Sonora, Tabasco, Veracruz y</w:t>
      </w:r>
      <w:r>
        <w:rPr>
          <w:rFonts w:ascii="Arial" w:hAnsi="Arial" w:cs="Arial"/>
          <w:sz w:val="24"/>
          <w:szCs w:val="24"/>
        </w:rPr>
        <w:t xml:space="preserve"> Yucatán.</w:t>
      </w:r>
      <w:r w:rsidRPr="003F35AF">
        <w:rPr>
          <w:rFonts w:ascii="Arial" w:hAnsi="Arial" w:cs="Arial"/>
          <w:sz w:val="24"/>
          <w:szCs w:val="24"/>
          <w:vertAlign w:val="superscript"/>
        </w:rPr>
        <w:t>3</w:t>
      </w:r>
    </w:p>
    <w:p w:rsidR="006C16D3" w:rsidRDefault="006C16D3" w:rsidP="00F2237E">
      <w:pPr>
        <w:spacing w:line="276" w:lineRule="auto"/>
        <w:jc w:val="both"/>
        <w:rPr>
          <w:rFonts w:ascii="Arial" w:hAnsi="Arial" w:cs="Arial"/>
          <w:sz w:val="24"/>
          <w:szCs w:val="24"/>
        </w:rPr>
      </w:pPr>
      <w:r w:rsidRPr="00671618">
        <w:rPr>
          <w:rFonts w:ascii="Arial" w:hAnsi="Arial" w:cs="Arial"/>
          <w:sz w:val="24"/>
          <w:szCs w:val="24"/>
        </w:rPr>
        <w:lastRenderedPageBreak/>
        <w:t xml:space="preserve">En México, </w:t>
      </w:r>
      <w:r>
        <w:rPr>
          <w:rFonts w:ascii="Arial" w:hAnsi="Arial" w:cs="Arial"/>
          <w:sz w:val="24"/>
          <w:szCs w:val="24"/>
        </w:rPr>
        <w:t xml:space="preserve">tradicionalmente </w:t>
      </w:r>
      <w:r w:rsidRPr="00671618">
        <w:rPr>
          <w:rFonts w:ascii="Arial" w:hAnsi="Arial" w:cs="Arial"/>
          <w:sz w:val="24"/>
          <w:szCs w:val="24"/>
        </w:rPr>
        <w:t>el cocimiento de la corteza, las hojas o el fruto, se emplea de manera externa para dar baños o lavados en afecciones, erupciones y heridas a nivel cutáneo; es recomendado ingerir el cocimiento de la raíz, fruto o corteza en casos de fiebre y tos, también es utilizado como coagulante en casos de hemorragias vaginales, menstruación irregular, para estimular el parto y enfermedades venéreas (sífilis). Así mismo se utiliza para padecimien</w:t>
      </w:r>
      <w:r>
        <w:rPr>
          <w:rFonts w:ascii="Arial" w:hAnsi="Arial" w:cs="Arial"/>
          <w:sz w:val="24"/>
          <w:szCs w:val="24"/>
        </w:rPr>
        <w:t xml:space="preserve">tos del sistema genitourinario; </w:t>
      </w:r>
      <w:r w:rsidRPr="00671618">
        <w:rPr>
          <w:rFonts w:ascii="Arial" w:hAnsi="Arial" w:cs="Arial"/>
          <w:sz w:val="24"/>
          <w:szCs w:val="24"/>
        </w:rPr>
        <w:t>el fruto molido es utilizado como agua de uso para atender enfermedades del riñón como mal de orín, retención de or</w:t>
      </w:r>
      <w:r>
        <w:rPr>
          <w:rFonts w:ascii="Arial" w:hAnsi="Arial" w:cs="Arial"/>
          <w:sz w:val="24"/>
          <w:szCs w:val="24"/>
        </w:rPr>
        <w:t>ina y como antiséptico urinario.</w:t>
      </w:r>
      <w:r w:rsidRPr="009802BE">
        <w:rPr>
          <w:rFonts w:ascii="Arial" w:hAnsi="Arial" w:cs="Arial"/>
          <w:sz w:val="24"/>
          <w:szCs w:val="24"/>
          <w:vertAlign w:val="superscript"/>
        </w:rPr>
        <w:t>4</w:t>
      </w:r>
    </w:p>
    <w:p w:rsidR="006C16D3" w:rsidRDefault="006C16D3" w:rsidP="00F2237E">
      <w:pPr>
        <w:spacing w:line="276" w:lineRule="auto"/>
        <w:jc w:val="both"/>
        <w:rPr>
          <w:rFonts w:ascii="Arial" w:hAnsi="Arial" w:cs="Arial"/>
          <w:sz w:val="24"/>
          <w:szCs w:val="24"/>
          <w:vertAlign w:val="superscript"/>
        </w:rPr>
      </w:pPr>
      <w:r w:rsidRPr="00671618">
        <w:rPr>
          <w:rFonts w:ascii="Arial" w:hAnsi="Arial" w:cs="Arial"/>
          <w:sz w:val="24"/>
          <w:szCs w:val="24"/>
        </w:rPr>
        <w:t xml:space="preserve">Se ha reportado que los extractos acuosos de la corteza de </w:t>
      </w:r>
      <w:r w:rsidRPr="00671618">
        <w:rPr>
          <w:rFonts w:ascii="Arial" w:hAnsi="Arial" w:cs="Arial"/>
          <w:i/>
          <w:sz w:val="24"/>
          <w:szCs w:val="24"/>
        </w:rPr>
        <w:t>G. ulmifolia</w:t>
      </w:r>
      <w:r w:rsidRPr="00671618">
        <w:rPr>
          <w:rFonts w:ascii="Arial" w:hAnsi="Arial" w:cs="Arial"/>
          <w:sz w:val="24"/>
          <w:szCs w:val="24"/>
        </w:rPr>
        <w:t xml:space="preserve"> disminuyen los niveles de glucosa en plasma en un 22% en conejos</w:t>
      </w:r>
      <w:r>
        <w:rPr>
          <w:rFonts w:ascii="Arial" w:hAnsi="Arial" w:cs="Arial"/>
          <w:sz w:val="24"/>
          <w:szCs w:val="24"/>
        </w:rPr>
        <w:t xml:space="preserve"> sanos.</w:t>
      </w:r>
      <w:r w:rsidRPr="009802BE">
        <w:rPr>
          <w:rFonts w:ascii="Arial" w:hAnsi="Arial" w:cs="Arial"/>
          <w:sz w:val="24"/>
          <w:szCs w:val="24"/>
          <w:vertAlign w:val="superscript"/>
        </w:rPr>
        <w:t>5</w:t>
      </w:r>
      <w:r>
        <w:rPr>
          <w:rFonts w:ascii="Arial" w:hAnsi="Arial" w:cs="Arial"/>
          <w:sz w:val="24"/>
          <w:szCs w:val="24"/>
        </w:rPr>
        <w:t>A pesar del extenso uso etnomédico</w:t>
      </w:r>
      <w:r w:rsidRPr="00671618">
        <w:rPr>
          <w:rFonts w:ascii="Arial" w:hAnsi="Arial" w:cs="Arial"/>
          <w:sz w:val="24"/>
          <w:szCs w:val="24"/>
        </w:rPr>
        <w:t xml:space="preserve"> de </w:t>
      </w:r>
      <w:r w:rsidRPr="00671618">
        <w:rPr>
          <w:rFonts w:ascii="Arial" w:hAnsi="Arial" w:cs="Arial"/>
          <w:i/>
          <w:sz w:val="24"/>
          <w:szCs w:val="24"/>
        </w:rPr>
        <w:t>G. ulmifolia</w:t>
      </w:r>
      <w:r w:rsidRPr="00671618">
        <w:rPr>
          <w:rFonts w:ascii="Arial" w:hAnsi="Arial" w:cs="Arial"/>
          <w:sz w:val="24"/>
          <w:szCs w:val="24"/>
        </w:rPr>
        <w:t xml:space="preserve"> para tratar diversas enfermedades a la fecha no se han realizados estudios que determinen </w:t>
      </w:r>
      <w:r>
        <w:rPr>
          <w:rFonts w:ascii="Arial" w:hAnsi="Arial" w:cs="Arial"/>
          <w:sz w:val="24"/>
          <w:szCs w:val="24"/>
        </w:rPr>
        <w:t>su rango de toxicidad-seguridad.</w:t>
      </w:r>
      <w:r w:rsidRPr="009802BE">
        <w:rPr>
          <w:rFonts w:ascii="Arial" w:hAnsi="Arial" w:cs="Arial"/>
          <w:sz w:val="24"/>
          <w:szCs w:val="24"/>
          <w:vertAlign w:val="superscript"/>
        </w:rPr>
        <w:t>6</w:t>
      </w:r>
    </w:p>
    <w:p w:rsidR="005F37B6" w:rsidRDefault="005F37B6" w:rsidP="00F2237E">
      <w:pPr>
        <w:spacing w:line="276" w:lineRule="auto"/>
        <w:jc w:val="both"/>
        <w:rPr>
          <w:rFonts w:ascii="Arial" w:hAnsi="Arial" w:cs="Arial"/>
          <w:sz w:val="24"/>
          <w:szCs w:val="24"/>
        </w:rPr>
      </w:pPr>
    </w:p>
    <w:p w:rsidR="006C16D3" w:rsidRDefault="006C16D3" w:rsidP="00F2237E">
      <w:pPr>
        <w:spacing w:line="276" w:lineRule="auto"/>
        <w:jc w:val="both"/>
        <w:rPr>
          <w:rFonts w:ascii="Arial" w:hAnsi="Arial" w:cs="Arial"/>
          <w:b/>
          <w:sz w:val="24"/>
          <w:szCs w:val="24"/>
        </w:rPr>
      </w:pPr>
      <w:r w:rsidRPr="009D1921">
        <w:rPr>
          <w:rFonts w:ascii="Arial" w:hAnsi="Arial" w:cs="Arial"/>
          <w:b/>
          <w:sz w:val="24"/>
          <w:szCs w:val="24"/>
        </w:rPr>
        <w:t>OBJETIVO</w:t>
      </w:r>
    </w:p>
    <w:p w:rsidR="006C16D3" w:rsidRDefault="006C16D3" w:rsidP="00F2237E">
      <w:pPr>
        <w:spacing w:line="276" w:lineRule="auto"/>
        <w:jc w:val="both"/>
        <w:rPr>
          <w:rFonts w:ascii="Arial" w:hAnsi="Arial" w:cs="Arial"/>
          <w:sz w:val="24"/>
          <w:szCs w:val="24"/>
          <w:lang w:val="es-ES_tradnl"/>
        </w:rPr>
      </w:pPr>
      <w:r w:rsidRPr="00681BE9">
        <w:rPr>
          <w:rFonts w:ascii="Arial" w:hAnsi="Arial" w:cs="Arial"/>
          <w:sz w:val="24"/>
          <w:szCs w:val="24"/>
          <w:lang w:val="es-ES_tradnl"/>
        </w:rPr>
        <w:t xml:space="preserve">Realizar el fraccionamiento cromatográfico preliminar y determinar la toxicidad oral aguda del extracto del fruto de </w:t>
      </w:r>
      <w:r w:rsidRPr="00681BE9">
        <w:rPr>
          <w:rFonts w:ascii="Arial" w:hAnsi="Arial" w:cs="Arial"/>
          <w:i/>
          <w:iCs/>
          <w:sz w:val="24"/>
          <w:szCs w:val="24"/>
          <w:lang w:val="es-ES_tradnl"/>
        </w:rPr>
        <w:t>Guazuma ulmifolia</w:t>
      </w:r>
      <w:r w:rsidRPr="00681BE9">
        <w:rPr>
          <w:rFonts w:ascii="Arial" w:hAnsi="Arial" w:cs="Arial"/>
          <w:sz w:val="24"/>
          <w:szCs w:val="24"/>
          <w:lang w:val="es-ES_tradnl"/>
        </w:rPr>
        <w:t xml:space="preserve"> Lam con el fin de </w:t>
      </w:r>
      <w:r>
        <w:rPr>
          <w:rFonts w:ascii="Arial" w:hAnsi="Arial" w:cs="Arial"/>
          <w:sz w:val="24"/>
          <w:szCs w:val="24"/>
          <w:lang w:val="es-ES_tradnl"/>
        </w:rPr>
        <w:t>con</w:t>
      </w:r>
      <w:r w:rsidRPr="00681BE9">
        <w:rPr>
          <w:rFonts w:ascii="Arial" w:hAnsi="Arial" w:cs="Arial"/>
          <w:sz w:val="24"/>
          <w:szCs w:val="24"/>
          <w:lang w:val="es-ES_tradnl"/>
        </w:rPr>
        <w:t>firmar la seguridad de uso de ésta planta.</w:t>
      </w:r>
    </w:p>
    <w:p w:rsidR="005F37B6" w:rsidRDefault="005F37B6" w:rsidP="00F2237E">
      <w:pPr>
        <w:spacing w:line="276" w:lineRule="auto"/>
        <w:jc w:val="both"/>
        <w:rPr>
          <w:rFonts w:ascii="Arial" w:hAnsi="Arial" w:cs="Arial"/>
          <w:sz w:val="24"/>
          <w:szCs w:val="24"/>
          <w:lang w:val="es-ES_tradnl"/>
        </w:rPr>
      </w:pPr>
    </w:p>
    <w:p w:rsidR="006C16D3" w:rsidRDefault="006C16D3" w:rsidP="008A0A50">
      <w:pPr>
        <w:spacing w:line="276" w:lineRule="auto"/>
        <w:jc w:val="both"/>
        <w:rPr>
          <w:rFonts w:ascii="Arial" w:hAnsi="Arial" w:cs="Arial"/>
          <w:b/>
          <w:sz w:val="24"/>
          <w:szCs w:val="24"/>
        </w:rPr>
      </w:pPr>
      <w:r w:rsidRPr="00055F5C">
        <w:rPr>
          <w:rFonts w:ascii="Arial" w:hAnsi="Arial" w:cs="Arial"/>
          <w:b/>
          <w:sz w:val="24"/>
          <w:szCs w:val="24"/>
        </w:rPr>
        <w:t>MATERIALES</w:t>
      </w:r>
    </w:p>
    <w:p w:rsidR="006C16D3" w:rsidRDefault="006C16D3" w:rsidP="001642C0">
      <w:pPr>
        <w:spacing w:line="276" w:lineRule="auto"/>
        <w:jc w:val="both"/>
        <w:rPr>
          <w:rFonts w:ascii="Arial" w:hAnsi="Arial" w:cs="Arial"/>
          <w:color w:val="FF0000"/>
          <w:sz w:val="24"/>
          <w:szCs w:val="24"/>
        </w:rPr>
      </w:pPr>
      <w:r w:rsidRPr="001642C0">
        <w:rPr>
          <w:rFonts w:ascii="Arial" w:hAnsi="Arial" w:cs="Arial"/>
          <w:b/>
          <w:sz w:val="24"/>
          <w:szCs w:val="24"/>
        </w:rPr>
        <w:t>Material vegetal</w:t>
      </w:r>
      <w:r>
        <w:rPr>
          <w:rFonts w:ascii="Arial" w:hAnsi="Arial" w:cs="Arial"/>
          <w:sz w:val="24"/>
          <w:szCs w:val="24"/>
        </w:rPr>
        <w:t>: el</w:t>
      </w:r>
      <w:r w:rsidR="00BF1FDE">
        <w:rPr>
          <w:rFonts w:ascii="Arial" w:hAnsi="Arial" w:cs="Arial"/>
          <w:sz w:val="24"/>
          <w:szCs w:val="24"/>
        </w:rPr>
        <w:t xml:space="preserve"> </w:t>
      </w:r>
      <w:r w:rsidRPr="00D4429E">
        <w:rPr>
          <w:rFonts w:ascii="Arial" w:hAnsi="Arial" w:cs="Arial"/>
          <w:sz w:val="24"/>
          <w:szCs w:val="24"/>
        </w:rPr>
        <w:t>material vegetal (frutos) se adquirió de manera comercial en Tepic, Nayarit. La identificación de la especie vegetal se realizó conforme a lo establecido en el método general de análisis MGA-FH 0040 de la Farmacopea Herbolaria de los Estados Unidos Mexicanos por medio de una comparación morfológica</w:t>
      </w:r>
      <w:r>
        <w:rPr>
          <w:rFonts w:ascii="Arial" w:hAnsi="Arial" w:cs="Arial"/>
          <w:sz w:val="24"/>
          <w:szCs w:val="24"/>
        </w:rPr>
        <w:t>,</w:t>
      </w:r>
      <w:r w:rsidRPr="00D4429E">
        <w:rPr>
          <w:rFonts w:ascii="Arial" w:hAnsi="Arial" w:cs="Arial"/>
          <w:sz w:val="24"/>
          <w:szCs w:val="24"/>
        </w:rPr>
        <w:t xml:space="preserve"> microscópica y macroscópica con una muestra auténtica disponible en el Herbario de la Universidad Autónoma de Nayarit con número de folio 001260, y con la </w:t>
      </w:r>
      <w:r w:rsidRPr="007D16A4">
        <w:rPr>
          <w:rFonts w:ascii="Arial" w:hAnsi="Arial" w:cs="Arial"/>
          <w:sz w:val="24"/>
          <w:szCs w:val="24"/>
        </w:rPr>
        <w:t>descripción de la especie.</w:t>
      </w:r>
      <w:r w:rsidRPr="007D16A4">
        <w:rPr>
          <w:rFonts w:ascii="Arial" w:hAnsi="Arial" w:cs="Arial"/>
          <w:sz w:val="24"/>
          <w:szCs w:val="24"/>
          <w:vertAlign w:val="superscript"/>
        </w:rPr>
        <w:t>8</w:t>
      </w:r>
    </w:p>
    <w:p w:rsidR="006C16D3" w:rsidRDefault="006C16D3" w:rsidP="00F2237E">
      <w:pPr>
        <w:spacing w:line="276" w:lineRule="auto"/>
        <w:jc w:val="both"/>
        <w:rPr>
          <w:rFonts w:ascii="Arial" w:hAnsi="Arial" w:cs="Arial"/>
          <w:sz w:val="24"/>
          <w:szCs w:val="24"/>
        </w:rPr>
      </w:pPr>
      <w:r w:rsidRPr="001642C0">
        <w:rPr>
          <w:rFonts w:ascii="Arial" w:hAnsi="Arial" w:cs="Arial"/>
          <w:b/>
          <w:sz w:val="24"/>
          <w:szCs w:val="24"/>
        </w:rPr>
        <w:t>Animales:</w:t>
      </w:r>
      <w:r>
        <w:rPr>
          <w:rFonts w:ascii="Arial" w:hAnsi="Arial" w:cs="Arial"/>
          <w:sz w:val="24"/>
          <w:szCs w:val="24"/>
        </w:rPr>
        <w:t xml:space="preserve"> s</w:t>
      </w:r>
      <w:r w:rsidRPr="00D4429E">
        <w:rPr>
          <w:rFonts w:ascii="Arial" w:hAnsi="Arial" w:cs="Arial"/>
          <w:sz w:val="24"/>
          <w:szCs w:val="24"/>
        </w:rPr>
        <w:t>e utilizaron ratones de la cepa CD-1, con un peso entre 35-</w:t>
      </w:r>
      <w:smartTag w:uri="urn:schemas-microsoft-com:office:smarttags" w:element="metricconverter">
        <w:smartTagPr>
          <w:attr w:name="ProductID" w:val="45 g"/>
        </w:smartTagPr>
        <w:r w:rsidRPr="00D4429E">
          <w:rPr>
            <w:rFonts w:ascii="Arial" w:hAnsi="Arial" w:cs="Arial"/>
            <w:sz w:val="24"/>
            <w:szCs w:val="24"/>
          </w:rPr>
          <w:t>45 g</w:t>
        </w:r>
      </w:smartTag>
      <w:r w:rsidRPr="00D4429E">
        <w:rPr>
          <w:rFonts w:ascii="Arial" w:hAnsi="Arial" w:cs="Arial"/>
          <w:sz w:val="24"/>
          <w:szCs w:val="24"/>
        </w:rPr>
        <w:t xml:space="preserve">. Los animales se mantuvieron en condiciones </w:t>
      </w:r>
      <w:r w:rsidR="00BF1FDE">
        <w:rPr>
          <w:rFonts w:ascii="Arial" w:hAnsi="Arial" w:cs="Arial"/>
          <w:sz w:val="24"/>
          <w:szCs w:val="24"/>
        </w:rPr>
        <w:t xml:space="preserve">estándar de laboratorio a 24-26 </w:t>
      </w:r>
      <w:r w:rsidRPr="00D4429E">
        <w:rPr>
          <w:rFonts w:ascii="Arial" w:hAnsi="Arial" w:cs="Arial"/>
          <w:sz w:val="24"/>
          <w:szCs w:val="24"/>
        </w:rPr>
        <w:t>°C, humedad 70-75% y ciclo de luz-oscuridad de 12 h con acceso libre a agua y privación de comida 16 h previas al ensayo. Los métodos en este estudio, se realizaron de acuerdo a las especificaciones establecidas por la Norma Oficial Mexicana NOM-062-ZOO-1999.</w:t>
      </w:r>
    </w:p>
    <w:p w:rsidR="005E0692" w:rsidRDefault="005E0692" w:rsidP="001642C0">
      <w:pPr>
        <w:spacing w:line="276" w:lineRule="auto"/>
        <w:jc w:val="both"/>
        <w:rPr>
          <w:rFonts w:ascii="Arial" w:hAnsi="Arial" w:cs="Arial"/>
          <w:b/>
          <w:sz w:val="24"/>
          <w:szCs w:val="24"/>
        </w:rPr>
      </w:pPr>
    </w:p>
    <w:p w:rsidR="006C16D3" w:rsidRDefault="006C16D3" w:rsidP="001642C0">
      <w:pPr>
        <w:spacing w:line="276" w:lineRule="auto"/>
        <w:jc w:val="both"/>
        <w:rPr>
          <w:rFonts w:ascii="Arial" w:hAnsi="Arial" w:cs="Arial"/>
          <w:b/>
          <w:sz w:val="24"/>
          <w:szCs w:val="24"/>
        </w:rPr>
      </w:pPr>
      <w:r>
        <w:rPr>
          <w:rFonts w:ascii="Arial" w:hAnsi="Arial" w:cs="Arial"/>
          <w:b/>
          <w:sz w:val="24"/>
          <w:szCs w:val="24"/>
        </w:rPr>
        <w:t>MÉTODOS</w:t>
      </w:r>
    </w:p>
    <w:p w:rsidR="006C16D3" w:rsidRDefault="006C16D3" w:rsidP="007705E9">
      <w:pPr>
        <w:spacing w:line="276" w:lineRule="auto"/>
        <w:jc w:val="both"/>
        <w:rPr>
          <w:rFonts w:ascii="Arial" w:hAnsi="Arial" w:cs="Arial"/>
          <w:sz w:val="24"/>
          <w:szCs w:val="24"/>
        </w:rPr>
      </w:pPr>
      <w:r w:rsidRPr="001642C0">
        <w:rPr>
          <w:rFonts w:ascii="Arial" w:hAnsi="Arial" w:cs="Arial"/>
          <w:b/>
          <w:sz w:val="24"/>
          <w:szCs w:val="24"/>
        </w:rPr>
        <w:t>Preparación de extracto</w:t>
      </w:r>
      <w:r>
        <w:rPr>
          <w:rFonts w:ascii="Arial" w:hAnsi="Arial" w:cs="Arial"/>
          <w:sz w:val="24"/>
          <w:szCs w:val="24"/>
        </w:rPr>
        <w:t xml:space="preserve">: el </w:t>
      </w:r>
      <w:r w:rsidRPr="00D4429E">
        <w:rPr>
          <w:rFonts w:ascii="Arial" w:hAnsi="Arial" w:cs="Arial"/>
          <w:sz w:val="24"/>
          <w:szCs w:val="24"/>
        </w:rPr>
        <w:t xml:space="preserve">material vegetal (fruto) se pulverizó en un molino de cuchillas, posteriormente se realizó la extracción en una proporción 1:3 (sólido-líquido) vía maceración con una solución hidroalcohólica (85:15 etanol-agua) y se dejó en </w:t>
      </w:r>
      <w:r w:rsidRPr="00D4429E">
        <w:rPr>
          <w:rFonts w:ascii="Arial" w:hAnsi="Arial" w:cs="Arial"/>
          <w:sz w:val="24"/>
          <w:szCs w:val="24"/>
        </w:rPr>
        <w:lastRenderedPageBreak/>
        <w:t>reposo por un periodo de 72 h, todo lo anterior se realizó por triplicado. El disolvente se decantó y se eliminó por destilación rotatoria a presión reducida hasta obtener el extracto seco</w:t>
      </w:r>
      <w:r>
        <w:rPr>
          <w:rFonts w:ascii="Arial" w:hAnsi="Arial" w:cs="Arial"/>
          <w:sz w:val="24"/>
          <w:szCs w:val="24"/>
        </w:rPr>
        <w:t xml:space="preserve"> (EHAGu).</w:t>
      </w:r>
    </w:p>
    <w:p w:rsidR="006C16D3" w:rsidRDefault="006C16D3" w:rsidP="007705E9">
      <w:pPr>
        <w:spacing w:line="276" w:lineRule="auto"/>
        <w:jc w:val="both"/>
        <w:rPr>
          <w:rFonts w:ascii="Arial" w:hAnsi="Arial" w:cs="Arial"/>
          <w:sz w:val="24"/>
          <w:szCs w:val="24"/>
          <w:lang w:val="es-ES_tradnl"/>
        </w:rPr>
      </w:pPr>
      <w:r w:rsidRPr="007705E9">
        <w:rPr>
          <w:rFonts w:ascii="Arial" w:hAnsi="Arial" w:cs="Arial"/>
          <w:b/>
          <w:sz w:val="24"/>
          <w:szCs w:val="24"/>
        </w:rPr>
        <w:t>Fraccionamiento cromatográfico:</w:t>
      </w:r>
      <w:r w:rsidR="00BF1FDE">
        <w:rPr>
          <w:rFonts w:ascii="Arial" w:hAnsi="Arial" w:cs="Arial"/>
          <w:b/>
          <w:sz w:val="24"/>
          <w:szCs w:val="24"/>
        </w:rPr>
        <w:t xml:space="preserve"> </w:t>
      </w:r>
      <w:r>
        <w:rPr>
          <w:rFonts w:ascii="Arial" w:hAnsi="Arial" w:cs="Arial"/>
          <w:sz w:val="24"/>
          <w:szCs w:val="24"/>
          <w:lang w:val="es-ES_tradnl"/>
        </w:rPr>
        <w:t>s</w:t>
      </w:r>
      <w:r w:rsidRPr="00D4429E">
        <w:rPr>
          <w:rFonts w:ascii="Arial" w:hAnsi="Arial" w:cs="Arial"/>
          <w:sz w:val="24"/>
          <w:szCs w:val="24"/>
          <w:lang w:val="es-ES_tradnl"/>
        </w:rPr>
        <w:t>e realizó un fraccionamiento preliminar del EHAGu por técnicas cromatografías</w:t>
      </w:r>
      <w:r>
        <w:rPr>
          <w:rFonts w:ascii="Arial" w:hAnsi="Arial" w:cs="Arial"/>
          <w:sz w:val="24"/>
          <w:szCs w:val="24"/>
          <w:lang w:val="es-ES_tradnl"/>
        </w:rPr>
        <w:t xml:space="preserve"> convencionales</w:t>
      </w:r>
      <w:r w:rsidRPr="00D4429E">
        <w:rPr>
          <w:rFonts w:ascii="Arial" w:hAnsi="Arial" w:cs="Arial"/>
          <w:sz w:val="24"/>
          <w:szCs w:val="24"/>
          <w:lang w:val="es-ES_tradnl"/>
        </w:rPr>
        <w:t>. La cromatografía en capa fina (</w:t>
      </w:r>
      <w:r w:rsidRPr="007705E9">
        <w:rPr>
          <w:rFonts w:ascii="Arial" w:hAnsi="Arial" w:cs="Arial"/>
          <w:b/>
          <w:sz w:val="24"/>
          <w:szCs w:val="24"/>
          <w:lang w:val="es-ES_tradnl"/>
        </w:rPr>
        <w:t>CCF</w:t>
      </w:r>
      <w:r w:rsidRPr="00D4429E">
        <w:rPr>
          <w:rFonts w:ascii="Arial" w:hAnsi="Arial" w:cs="Arial"/>
          <w:sz w:val="24"/>
          <w:szCs w:val="24"/>
          <w:lang w:val="es-ES_tradnl"/>
        </w:rPr>
        <w:t xml:space="preserve">) nos permitió obtener </w:t>
      </w:r>
      <w:r>
        <w:rPr>
          <w:rFonts w:ascii="Arial" w:hAnsi="Arial" w:cs="Arial"/>
          <w:sz w:val="24"/>
          <w:szCs w:val="24"/>
          <w:lang w:val="es-ES_tradnl"/>
        </w:rPr>
        <w:t xml:space="preserve">una huella preliminar como ensayo de identidad. </w:t>
      </w:r>
      <w:r w:rsidRPr="00D4429E">
        <w:rPr>
          <w:rFonts w:ascii="Arial" w:hAnsi="Arial" w:cs="Arial"/>
          <w:sz w:val="24"/>
          <w:szCs w:val="24"/>
          <w:lang w:val="es-ES_tradnl"/>
        </w:rPr>
        <w:t xml:space="preserve">Después de la elución las cromatoplacas fueron reveladas con luz ultravioleta </w:t>
      </w:r>
      <w:r>
        <w:rPr>
          <w:rFonts w:ascii="Arial" w:hAnsi="Arial" w:cs="Arial"/>
          <w:sz w:val="24"/>
          <w:szCs w:val="24"/>
          <w:lang w:val="es-ES_tradnl"/>
        </w:rPr>
        <w:t>para identificar grupos cromóforos y posteriormente reveladas con</w:t>
      </w:r>
      <w:r w:rsidRPr="00D4429E">
        <w:rPr>
          <w:rFonts w:ascii="Arial" w:hAnsi="Arial" w:cs="Arial"/>
          <w:sz w:val="24"/>
          <w:szCs w:val="24"/>
          <w:lang w:val="es-ES_tradnl"/>
        </w:rPr>
        <w:t xml:space="preserve"> ácido sulfúrico al 10%.</w:t>
      </w:r>
    </w:p>
    <w:p w:rsidR="006C16D3" w:rsidRPr="009271A6" w:rsidRDefault="006C16D3" w:rsidP="007705E9">
      <w:pPr>
        <w:spacing w:line="276" w:lineRule="auto"/>
        <w:jc w:val="both"/>
        <w:rPr>
          <w:rFonts w:ascii="Arial" w:hAnsi="Arial" w:cs="Arial"/>
          <w:sz w:val="24"/>
          <w:szCs w:val="24"/>
          <w:lang w:val="es-ES_tradnl"/>
        </w:rPr>
      </w:pPr>
      <w:r w:rsidRPr="00396623">
        <w:rPr>
          <w:rFonts w:ascii="Arial" w:hAnsi="Arial" w:cs="Arial"/>
          <w:b/>
          <w:sz w:val="24"/>
          <w:szCs w:val="24"/>
          <w:lang w:val="es-ES_tradnl"/>
        </w:rPr>
        <w:t>Purificación de los extractos:</w:t>
      </w:r>
      <w:r>
        <w:rPr>
          <w:rFonts w:ascii="Arial" w:hAnsi="Arial" w:cs="Arial"/>
          <w:sz w:val="24"/>
          <w:szCs w:val="24"/>
          <w:lang w:val="es-ES_tradnl"/>
        </w:rPr>
        <w:t xml:space="preserve"> para el aislamiento y purificación de los metabolitos secundarios presentes en el EHAGu se utilizaron técnicas cromatográficas de columna abierta (</w:t>
      </w:r>
      <w:r w:rsidRPr="009802BE">
        <w:rPr>
          <w:rFonts w:ascii="Arial" w:hAnsi="Arial" w:cs="Arial"/>
          <w:b/>
          <w:sz w:val="24"/>
          <w:szCs w:val="24"/>
          <w:lang w:val="es-ES_tradnl"/>
        </w:rPr>
        <w:t>CC</w:t>
      </w:r>
      <w:r>
        <w:rPr>
          <w:rFonts w:ascii="Arial" w:hAnsi="Arial" w:cs="Arial"/>
          <w:sz w:val="24"/>
          <w:szCs w:val="24"/>
          <w:lang w:val="es-ES_tradnl"/>
        </w:rPr>
        <w:t>), para lo cual se utilizó gel sílice 60 (70:230) con un tamaño de partícula de 0.063-0.200mm Merck; el proceso fue monitoreado mediante CCF con cromatoplacas base de aluminio kieselgel 60 F</w:t>
      </w:r>
      <w:r>
        <w:rPr>
          <w:rFonts w:ascii="Arial" w:hAnsi="Arial" w:cs="Arial"/>
          <w:sz w:val="24"/>
          <w:szCs w:val="24"/>
          <w:vertAlign w:val="subscript"/>
          <w:lang w:val="es-ES_tradnl"/>
        </w:rPr>
        <w:t xml:space="preserve">264 </w:t>
      </w:r>
      <w:r>
        <w:rPr>
          <w:rFonts w:ascii="Arial" w:hAnsi="Arial" w:cs="Arial"/>
          <w:sz w:val="24"/>
          <w:szCs w:val="24"/>
          <w:lang w:val="es-ES_tradnl"/>
        </w:rPr>
        <w:t>con 1mm de espesor Merck. Las cromatoplacas se observaron bajo luz UV y posteriormente se revelaron con ácido sulfúrico al 10%. Las fracciones obtenidas del proceso inicial se reunieron por similitud.</w:t>
      </w:r>
    </w:p>
    <w:p w:rsidR="006C16D3" w:rsidRDefault="006C16D3" w:rsidP="00F2237E">
      <w:pPr>
        <w:spacing w:line="276" w:lineRule="auto"/>
        <w:jc w:val="both"/>
        <w:rPr>
          <w:rFonts w:ascii="Arial" w:hAnsi="Arial" w:cs="Arial"/>
          <w:sz w:val="24"/>
          <w:szCs w:val="24"/>
        </w:rPr>
      </w:pPr>
      <w:r w:rsidRPr="007705E9">
        <w:rPr>
          <w:rFonts w:ascii="Arial" w:hAnsi="Arial" w:cs="Arial"/>
          <w:b/>
          <w:sz w:val="24"/>
          <w:szCs w:val="24"/>
          <w:lang w:val="es-ES_tradnl"/>
        </w:rPr>
        <w:t>Evaluación de la to</w:t>
      </w:r>
      <w:r w:rsidRPr="007705E9">
        <w:rPr>
          <w:rFonts w:ascii="Arial" w:hAnsi="Arial" w:cs="Arial"/>
          <w:b/>
          <w:sz w:val="24"/>
          <w:szCs w:val="24"/>
        </w:rPr>
        <w:t>xicidad oral aguda:</w:t>
      </w:r>
      <w:r>
        <w:rPr>
          <w:rFonts w:ascii="Arial" w:hAnsi="Arial" w:cs="Arial"/>
          <w:sz w:val="24"/>
          <w:szCs w:val="24"/>
        </w:rPr>
        <w:t xml:space="preserve"> e</w:t>
      </w:r>
      <w:r w:rsidRPr="00D4429E">
        <w:rPr>
          <w:rFonts w:ascii="Arial" w:hAnsi="Arial" w:cs="Arial"/>
          <w:sz w:val="24"/>
          <w:szCs w:val="24"/>
        </w:rPr>
        <w:t>l ensayo de la determinación de la toxicidad aguda (</w:t>
      </w:r>
      <w:r w:rsidRPr="007705E9">
        <w:rPr>
          <w:rFonts w:ascii="Arial" w:hAnsi="Arial" w:cs="Arial"/>
          <w:b/>
          <w:sz w:val="24"/>
          <w:szCs w:val="24"/>
        </w:rPr>
        <w:t>TOA</w:t>
      </w:r>
      <w:r w:rsidRPr="00D4429E">
        <w:rPr>
          <w:rFonts w:ascii="Arial" w:hAnsi="Arial" w:cs="Arial"/>
          <w:sz w:val="24"/>
          <w:szCs w:val="24"/>
        </w:rPr>
        <w:t>) se llevó a cabo siguiendo el protocolo de la OECD 423 con algunas modificaciones. Los animales se separaron en cuatro grupos; se administró una sola dosis vía oral; el vehículo y el extracto EHAGu a dosis de 50, 300 y 2000 mg/Kg de peso, respectivamente. Posterior a la administración aguda, los a</w:t>
      </w:r>
      <w:r>
        <w:rPr>
          <w:rFonts w:ascii="Arial" w:hAnsi="Arial" w:cs="Arial"/>
          <w:sz w:val="24"/>
          <w:szCs w:val="24"/>
        </w:rPr>
        <w:t>nimales se mantuvieron en observación los 14 días posteriores.</w:t>
      </w:r>
      <w:r w:rsidRPr="009802BE">
        <w:rPr>
          <w:rFonts w:ascii="Arial" w:hAnsi="Arial" w:cs="Arial"/>
          <w:sz w:val="24"/>
          <w:szCs w:val="24"/>
          <w:vertAlign w:val="superscript"/>
        </w:rPr>
        <w:t>7</w:t>
      </w:r>
    </w:p>
    <w:p w:rsidR="006C16D3" w:rsidRDefault="006C16D3" w:rsidP="00F2237E">
      <w:pPr>
        <w:spacing w:line="276" w:lineRule="auto"/>
        <w:jc w:val="both"/>
        <w:rPr>
          <w:rFonts w:ascii="Arial" w:hAnsi="Arial" w:cs="Arial"/>
          <w:sz w:val="24"/>
          <w:szCs w:val="24"/>
        </w:rPr>
      </w:pPr>
    </w:p>
    <w:p w:rsidR="006C16D3" w:rsidRPr="000052C4" w:rsidRDefault="006C16D3" w:rsidP="00F2237E">
      <w:pPr>
        <w:spacing w:line="276" w:lineRule="auto"/>
        <w:jc w:val="both"/>
        <w:rPr>
          <w:rFonts w:ascii="Arial" w:hAnsi="Arial" w:cs="Arial"/>
          <w:sz w:val="24"/>
          <w:szCs w:val="24"/>
        </w:rPr>
      </w:pPr>
      <w:r w:rsidRPr="009D1921">
        <w:rPr>
          <w:rFonts w:ascii="Arial" w:hAnsi="Arial" w:cs="Arial"/>
          <w:b/>
          <w:sz w:val="24"/>
          <w:szCs w:val="24"/>
        </w:rPr>
        <w:t>RESULTADOS</w:t>
      </w:r>
    </w:p>
    <w:p w:rsidR="006C16D3" w:rsidRDefault="006C16D3" w:rsidP="00F2237E">
      <w:pPr>
        <w:spacing w:line="276" w:lineRule="auto"/>
        <w:jc w:val="both"/>
        <w:rPr>
          <w:rFonts w:ascii="Arial" w:hAnsi="Arial" w:cs="Arial"/>
          <w:sz w:val="24"/>
          <w:szCs w:val="24"/>
          <w:vertAlign w:val="superscript"/>
        </w:rPr>
      </w:pPr>
      <w:r w:rsidRPr="00D4429E">
        <w:rPr>
          <w:rFonts w:ascii="Arial" w:hAnsi="Arial" w:cs="Arial"/>
          <w:sz w:val="24"/>
          <w:szCs w:val="24"/>
        </w:rPr>
        <w:t xml:space="preserve">La identificación de la especie vegetal se realizó mediante la observación y comparación microscópica y macroscópica con una muestra auténtica, se observaron cápsulas ovoides de </w:t>
      </w:r>
      <w:smartTag w:uri="urn:schemas-microsoft-com:office:smarttags" w:element="metricconverter">
        <w:smartTagPr>
          <w:attr w:name="ProductID" w:val="4 cm"/>
        </w:smartTagPr>
        <w:r w:rsidRPr="00D4429E">
          <w:rPr>
            <w:rFonts w:ascii="Arial" w:hAnsi="Arial" w:cs="Arial"/>
            <w:sz w:val="24"/>
            <w:szCs w:val="24"/>
          </w:rPr>
          <w:t>3 a</w:t>
        </w:r>
      </w:smartTag>
      <w:smartTag w:uri="urn:schemas-microsoft-com:office:smarttags" w:element="metricconverter">
        <w:smartTagPr>
          <w:attr w:name="ProductID" w:val="4 cm"/>
        </w:smartTagPr>
        <w:r w:rsidRPr="00D4429E">
          <w:rPr>
            <w:rFonts w:ascii="Arial" w:hAnsi="Arial" w:cs="Arial"/>
            <w:sz w:val="24"/>
            <w:szCs w:val="24"/>
          </w:rPr>
          <w:t>4 cm</w:t>
        </w:r>
      </w:smartTag>
      <w:r w:rsidRPr="00D4429E">
        <w:rPr>
          <w:rFonts w:ascii="Arial" w:hAnsi="Arial" w:cs="Arial"/>
          <w:sz w:val="24"/>
          <w:szCs w:val="24"/>
        </w:rPr>
        <w:t xml:space="preserve"> de largo, con numerosas protuberancias cónicas en la superficie, de color moreno-oscura a negra con olor dulce</w:t>
      </w:r>
      <w:r>
        <w:rPr>
          <w:rFonts w:ascii="Arial" w:hAnsi="Arial" w:cs="Arial"/>
          <w:sz w:val="24"/>
          <w:szCs w:val="24"/>
        </w:rPr>
        <w:t>, coincidiendo con lo reportado (Figura 1).</w:t>
      </w:r>
      <w:r w:rsidRPr="00E63D2A">
        <w:rPr>
          <w:rFonts w:ascii="Arial" w:hAnsi="Arial" w:cs="Arial"/>
          <w:sz w:val="24"/>
          <w:szCs w:val="24"/>
          <w:vertAlign w:val="superscript"/>
        </w:rPr>
        <w:t>4</w:t>
      </w:r>
    </w:p>
    <w:p w:rsidR="005458AE" w:rsidRDefault="00CF2BBD" w:rsidP="00F2237E">
      <w:pPr>
        <w:spacing w:line="276" w:lineRule="auto"/>
        <w:jc w:val="both"/>
        <w:rPr>
          <w:rFonts w:ascii="Arial" w:hAnsi="Arial" w:cs="Arial"/>
          <w:sz w:val="24"/>
          <w:szCs w:val="24"/>
          <w:vertAlign w:val="superscript"/>
        </w:rPr>
      </w:pPr>
      <w:r w:rsidRPr="00CF2BBD">
        <w:rPr>
          <w:rFonts w:ascii="Arial" w:hAnsi="Arial" w:cs="Arial"/>
          <w:noProof/>
          <w:sz w:val="24"/>
          <w:szCs w:val="24"/>
          <w:lang w:val="en-US"/>
        </w:rPr>
        <w:pict>
          <v:shapetype id="_x0000_t202" coordsize="21600,21600" o:spt="202" path="m,l,21600r21600,l21600,xe">
            <v:stroke joinstyle="miter"/>
            <v:path gradientshapeok="t" o:connecttype="rect"/>
          </v:shapetype>
          <v:shape id="_x0000_s1035" type="#_x0000_t202" style="position:absolute;left:0;text-align:left;margin-left:105.8pt;margin-top:1.35pt;width:272.25pt;height:170.25pt;z-index:251658752" filled="f" stroked="f">
            <v:textbox>
              <w:txbxContent>
                <w:p w:rsidR="005F37B6" w:rsidRDefault="005F37B6" w:rsidP="005F37B6">
                  <w:pPr>
                    <w:jc w:val="center"/>
                  </w:pPr>
                  <w:r>
                    <w:rPr>
                      <w:rFonts w:ascii="Arial" w:hAnsi="Arial" w:cs="Arial"/>
                      <w:noProof/>
                      <w:sz w:val="24"/>
                      <w:szCs w:val="24"/>
                      <w:lang w:val="en-US"/>
                    </w:rPr>
                    <w:drawing>
                      <wp:inline distT="0" distB="0" distL="0" distR="0">
                        <wp:extent cx="3190875" cy="1600200"/>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b="11049"/>
                                <a:stretch>
                                  <a:fillRect/>
                                </a:stretch>
                              </pic:blipFill>
                              <pic:spPr bwMode="auto">
                                <a:xfrm>
                                  <a:off x="0" y="0"/>
                                  <a:ext cx="3190875" cy="1600200"/>
                                </a:xfrm>
                                <a:prstGeom prst="rect">
                                  <a:avLst/>
                                </a:prstGeom>
                                <a:noFill/>
                                <a:ln w="9525">
                                  <a:noFill/>
                                  <a:miter lim="800000"/>
                                  <a:headEnd/>
                                  <a:tailEnd/>
                                </a:ln>
                              </pic:spPr>
                            </pic:pic>
                          </a:graphicData>
                        </a:graphic>
                      </wp:inline>
                    </w:drawing>
                  </w:r>
                </w:p>
                <w:p w:rsidR="005F37B6" w:rsidRPr="00B25938" w:rsidRDefault="007D3052" w:rsidP="005F37B6">
                  <w:pPr>
                    <w:spacing w:line="276" w:lineRule="auto"/>
                    <w:jc w:val="both"/>
                    <w:rPr>
                      <w:rFonts w:ascii="Arial" w:hAnsi="Arial" w:cs="Arial"/>
                      <w:sz w:val="20"/>
                      <w:szCs w:val="16"/>
                    </w:rPr>
                  </w:pPr>
                  <w:r w:rsidRPr="00B25938">
                    <w:rPr>
                      <w:rFonts w:ascii="Arial" w:hAnsi="Arial" w:cs="Arial"/>
                      <w:b/>
                      <w:noProof/>
                      <w:sz w:val="20"/>
                      <w:szCs w:val="16"/>
                    </w:rPr>
                    <w:t xml:space="preserve">Figura </w:t>
                  </w:r>
                  <w:r w:rsidR="005F37B6" w:rsidRPr="00B25938">
                    <w:rPr>
                      <w:rFonts w:ascii="Arial" w:hAnsi="Arial" w:cs="Arial"/>
                      <w:b/>
                      <w:noProof/>
                      <w:sz w:val="20"/>
                      <w:szCs w:val="16"/>
                    </w:rPr>
                    <w:t>1</w:t>
                  </w:r>
                  <w:r w:rsidR="005F37B6" w:rsidRPr="00B25938">
                    <w:rPr>
                      <w:rFonts w:ascii="Arial" w:hAnsi="Arial" w:cs="Arial"/>
                      <w:noProof/>
                      <w:sz w:val="20"/>
                      <w:szCs w:val="16"/>
                    </w:rPr>
                    <w:t xml:space="preserve">.Fruto de Guazuma ulmifolia </w:t>
                  </w:r>
                  <w:r w:rsidR="005F37B6" w:rsidRPr="00154F8F">
                    <w:rPr>
                      <w:rFonts w:ascii="Arial" w:hAnsi="Arial" w:cs="Arial"/>
                      <w:b/>
                      <w:noProof/>
                      <w:sz w:val="20"/>
                      <w:szCs w:val="16"/>
                    </w:rPr>
                    <w:t>A)</w:t>
                  </w:r>
                  <w:r w:rsidR="005F37B6" w:rsidRPr="00B25938">
                    <w:rPr>
                      <w:rFonts w:ascii="Arial" w:hAnsi="Arial" w:cs="Arial"/>
                      <w:noProof/>
                      <w:sz w:val="20"/>
                      <w:szCs w:val="16"/>
                    </w:rPr>
                    <w:t xml:space="preserve"> vista en microscopio esteroscopico,</w:t>
                  </w:r>
                  <w:r w:rsidRPr="00B25938">
                    <w:rPr>
                      <w:rFonts w:ascii="Arial" w:hAnsi="Arial" w:cs="Arial"/>
                      <w:noProof/>
                      <w:sz w:val="20"/>
                      <w:szCs w:val="16"/>
                    </w:rPr>
                    <w:t xml:space="preserve"> </w:t>
                  </w:r>
                  <w:r w:rsidR="005F37B6" w:rsidRPr="00154F8F">
                    <w:rPr>
                      <w:rFonts w:ascii="Arial" w:hAnsi="Arial" w:cs="Arial"/>
                      <w:b/>
                      <w:noProof/>
                      <w:sz w:val="20"/>
                      <w:szCs w:val="16"/>
                    </w:rPr>
                    <w:t>B)</w:t>
                  </w:r>
                  <w:r w:rsidR="005F37B6" w:rsidRPr="00B25938">
                    <w:rPr>
                      <w:rFonts w:ascii="Arial" w:hAnsi="Arial" w:cs="Arial"/>
                      <w:noProof/>
                      <w:sz w:val="20"/>
                      <w:szCs w:val="16"/>
                    </w:rPr>
                    <w:t xml:space="preserve"> vista macroscopica</w:t>
                  </w:r>
                </w:p>
                <w:p w:rsidR="005F37B6" w:rsidRDefault="005F37B6" w:rsidP="005F37B6">
                  <w:pPr>
                    <w:jc w:val="center"/>
                  </w:pPr>
                </w:p>
              </w:txbxContent>
            </v:textbox>
            <w10:wrap type="square"/>
          </v:shape>
        </w:pict>
      </w:r>
    </w:p>
    <w:p w:rsidR="00C4095C" w:rsidRDefault="00C4095C" w:rsidP="00F2237E">
      <w:pPr>
        <w:spacing w:line="276" w:lineRule="auto"/>
        <w:jc w:val="both"/>
        <w:rPr>
          <w:rFonts w:ascii="Arial" w:hAnsi="Arial" w:cs="Arial"/>
          <w:sz w:val="24"/>
          <w:szCs w:val="24"/>
          <w:vertAlign w:val="superscript"/>
        </w:rPr>
      </w:pPr>
    </w:p>
    <w:p w:rsidR="00C4095C" w:rsidRDefault="00C4095C" w:rsidP="00F2237E">
      <w:pPr>
        <w:spacing w:line="276" w:lineRule="auto"/>
        <w:jc w:val="both"/>
        <w:rPr>
          <w:rFonts w:ascii="Arial" w:hAnsi="Arial" w:cs="Arial"/>
          <w:sz w:val="24"/>
          <w:szCs w:val="24"/>
          <w:vertAlign w:val="superscript"/>
        </w:rPr>
      </w:pPr>
    </w:p>
    <w:p w:rsidR="00C4095C" w:rsidRDefault="00C4095C" w:rsidP="00F2237E">
      <w:pPr>
        <w:spacing w:line="276" w:lineRule="auto"/>
        <w:jc w:val="both"/>
        <w:rPr>
          <w:rFonts w:ascii="Arial" w:hAnsi="Arial" w:cs="Arial"/>
          <w:sz w:val="24"/>
          <w:szCs w:val="24"/>
          <w:vertAlign w:val="superscript"/>
        </w:rPr>
      </w:pPr>
    </w:p>
    <w:p w:rsidR="00C4095C" w:rsidRDefault="00C4095C" w:rsidP="005458AE">
      <w:pPr>
        <w:spacing w:line="276" w:lineRule="auto"/>
        <w:jc w:val="both"/>
        <w:rPr>
          <w:rFonts w:ascii="Arial" w:hAnsi="Arial" w:cs="Arial"/>
          <w:sz w:val="24"/>
          <w:szCs w:val="24"/>
          <w:vertAlign w:val="superscript"/>
        </w:rPr>
      </w:pPr>
    </w:p>
    <w:p w:rsidR="006C16D3" w:rsidRDefault="006C16D3" w:rsidP="005458AE">
      <w:pPr>
        <w:spacing w:line="276" w:lineRule="auto"/>
        <w:jc w:val="both"/>
        <w:rPr>
          <w:rFonts w:ascii="Arial" w:hAnsi="Arial" w:cs="Arial"/>
          <w:sz w:val="24"/>
          <w:szCs w:val="24"/>
          <w:lang w:val="es-ES_tradnl"/>
        </w:rPr>
      </w:pPr>
      <w:r>
        <w:rPr>
          <w:rFonts w:ascii="Arial" w:hAnsi="Arial" w:cs="Arial"/>
          <w:sz w:val="24"/>
          <w:szCs w:val="24"/>
          <w:lang w:val="es-ES_tradnl"/>
        </w:rPr>
        <w:lastRenderedPageBreak/>
        <w:t xml:space="preserve">El rendimiento total fue del </w:t>
      </w:r>
      <w:r w:rsidRPr="00D4429E">
        <w:rPr>
          <w:rFonts w:ascii="Arial" w:hAnsi="Arial" w:cs="Arial"/>
          <w:sz w:val="24"/>
          <w:szCs w:val="24"/>
          <w:lang w:val="es-ES_tradnl"/>
        </w:rPr>
        <w:t>1</w:t>
      </w:r>
      <w:r w:rsidR="005458AE">
        <w:rPr>
          <w:rFonts w:ascii="Arial" w:hAnsi="Arial" w:cs="Arial"/>
          <w:sz w:val="24"/>
          <w:szCs w:val="24"/>
          <w:lang w:val="es-ES_tradnl"/>
        </w:rPr>
        <w:t xml:space="preserve">0% del extracto hidroalcohólico </w:t>
      </w:r>
      <w:r w:rsidRPr="00D4429E">
        <w:rPr>
          <w:rFonts w:ascii="Arial" w:hAnsi="Arial" w:cs="Arial"/>
          <w:sz w:val="24"/>
          <w:szCs w:val="24"/>
          <w:lang w:val="es-ES_tradnl"/>
        </w:rPr>
        <w:t xml:space="preserve">el fruto de </w:t>
      </w:r>
      <w:r w:rsidRPr="00D4429E">
        <w:rPr>
          <w:rFonts w:ascii="Arial" w:hAnsi="Arial" w:cs="Arial"/>
          <w:i/>
          <w:sz w:val="24"/>
          <w:szCs w:val="24"/>
          <w:lang w:val="es-ES_tradnl"/>
        </w:rPr>
        <w:t xml:space="preserve">Guazuma ulmifolia </w:t>
      </w:r>
      <w:r w:rsidRPr="00D4429E">
        <w:rPr>
          <w:rFonts w:ascii="Arial" w:hAnsi="Arial" w:cs="Arial"/>
          <w:sz w:val="24"/>
          <w:szCs w:val="24"/>
          <w:lang w:val="es-ES_tradnl"/>
        </w:rPr>
        <w:t>Lam (EHAGu). El fraccionamiento cromatográfico preliminar del extracto arrojó al menos</w:t>
      </w:r>
      <w:r>
        <w:rPr>
          <w:rFonts w:ascii="Arial" w:hAnsi="Arial" w:cs="Arial"/>
          <w:sz w:val="24"/>
          <w:szCs w:val="24"/>
          <w:lang w:val="es-ES_tradnl"/>
        </w:rPr>
        <w:t xml:space="preserve"> 10 compuestos </w:t>
      </w:r>
      <w:r w:rsidRPr="00D4429E">
        <w:rPr>
          <w:rFonts w:ascii="Arial" w:hAnsi="Arial" w:cs="Arial"/>
          <w:sz w:val="24"/>
          <w:szCs w:val="24"/>
          <w:lang w:val="es-ES_tradnl"/>
        </w:rPr>
        <w:t>que son visibles en luz ultravioleta (compuestos con enlaces dobles conju</w:t>
      </w:r>
      <w:r>
        <w:rPr>
          <w:rFonts w:ascii="Arial" w:hAnsi="Arial" w:cs="Arial"/>
          <w:sz w:val="24"/>
          <w:szCs w:val="24"/>
          <w:lang w:val="es-ES_tradnl"/>
        </w:rPr>
        <w:t>gados) y ácido sulfúrico al 10% (Figura 2).</w:t>
      </w:r>
    </w:p>
    <w:p w:rsidR="005F37B6" w:rsidRDefault="00CF2BBD" w:rsidP="005458AE">
      <w:pPr>
        <w:spacing w:line="276" w:lineRule="auto"/>
        <w:jc w:val="both"/>
        <w:rPr>
          <w:rFonts w:ascii="Arial" w:hAnsi="Arial" w:cs="Arial"/>
          <w:sz w:val="24"/>
          <w:szCs w:val="24"/>
          <w:lang w:val="es-ES_tradnl"/>
        </w:rPr>
      </w:pPr>
      <w:r>
        <w:rPr>
          <w:rFonts w:ascii="Arial" w:hAnsi="Arial" w:cs="Arial"/>
          <w:noProof/>
          <w:sz w:val="24"/>
          <w:szCs w:val="24"/>
          <w:lang w:val="en-US"/>
        </w:rPr>
        <w:pict>
          <v:shape id="_x0000_s1045" type="#_x0000_t202" style="position:absolute;left:0;text-align:left;margin-left:308.65pt;margin-top:7.4pt;width:19.6pt;height:21.3pt;z-index:251664896" stroked="f">
            <v:textbox>
              <w:txbxContent>
                <w:p w:rsidR="005E0692" w:rsidRPr="005E0692" w:rsidRDefault="005E0692" w:rsidP="005E0692">
                  <w:pPr>
                    <w:jc w:val="both"/>
                    <w:rPr>
                      <w:rFonts w:ascii="Arial" w:hAnsi="Arial" w:cs="Arial"/>
                    </w:rPr>
                  </w:pPr>
                  <w:r w:rsidRPr="005E0692">
                    <w:rPr>
                      <w:rFonts w:ascii="Arial" w:hAnsi="Arial" w:cs="Arial"/>
                    </w:rPr>
                    <w:t>B</w:t>
                  </w:r>
                </w:p>
              </w:txbxContent>
            </v:textbox>
          </v:shape>
        </w:pict>
      </w:r>
      <w:r>
        <w:rPr>
          <w:rFonts w:ascii="Arial" w:hAnsi="Arial" w:cs="Arial"/>
          <w:noProof/>
          <w:sz w:val="24"/>
          <w:szCs w:val="24"/>
          <w:lang w:val="en-US"/>
        </w:rPr>
        <w:pict>
          <v:shape id="_x0000_s1044" type="#_x0000_t202" style="position:absolute;left:0;text-align:left;margin-left:171.6pt;margin-top:7.4pt;width:19.6pt;height:21.3pt;z-index:251663872" stroked="f">
            <v:textbox>
              <w:txbxContent>
                <w:p w:rsidR="00DA367D" w:rsidRPr="00DA367D" w:rsidRDefault="00DA367D">
                  <w:pPr>
                    <w:rPr>
                      <w:rFonts w:ascii="Arial" w:hAnsi="Arial" w:cs="Arial"/>
                    </w:rPr>
                  </w:pPr>
                  <w:r w:rsidRPr="00DA367D">
                    <w:rPr>
                      <w:rFonts w:ascii="Arial" w:hAnsi="Arial" w:cs="Arial"/>
                    </w:rPr>
                    <w:t>A</w:t>
                  </w:r>
                </w:p>
              </w:txbxContent>
            </v:textbox>
          </v:shape>
        </w:pict>
      </w:r>
      <w:r>
        <w:rPr>
          <w:rFonts w:ascii="Arial" w:hAnsi="Arial" w:cs="Arial"/>
          <w:noProof/>
          <w:sz w:val="24"/>
          <w:szCs w:val="24"/>
          <w:lang w:val="en-US"/>
        </w:rPr>
        <w:pict>
          <v:shape id="_x0000_s1036" type="#_x0000_t202" style="position:absolute;left:0;text-align:left;margin-left:133.85pt;margin-top:1.25pt;width:231.3pt;height:240.6pt;z-index:251659776" stroked="f">
            <v:textbox>
              <w:txbxContent>
                <w:p w:rsidR="005F37B6" w:rsidRDefault="005F37B6" w:rsidP="00B25938">
                  <w:pPr>
                    <w:jc w:val="center"/>
                  </w:pPr>
                  <w:r>
                    <w:rPr>
                      <w:rFonts w:ascii="Arial" w:hAnsi="Arial" w:cs="Arial"/>
                      <w:noProof/>
                      <w:sz w:val="24"/>
                      <w:szCs w:val="24"/>
                      <w:lang w:val="en-US"/>
                    </w:rPr>
                    <w:drawing>
                      <wp:inline distT="0" distB="0" distL="0" distR="0">
                        <wp:extent cx="1509827" cy="2349764"/>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25359" t="20680" r="52791" b="18980"/>
                                <a:stretch>
                                  <a:fillRect/>
                                </a:stretch>
                              </pic:blipFill>
                              <pic:spPr bwMode="auto">
                                <a:xfrm>
                                  <a:off x="0" y="0"/>
                                  <a:ext cx="1509827" cy="2349764"/>
                                </a:xfrm>
                                <a:prstGeom prst="rect">
                                  <a:avLst/>
                                </a:prstGeom>
                                <a:noFill/>
                                <a:ln w="9525">
                                  <a:noFill/>
                                  <a:miter lim="800000"/>
                                  <a:headEnd/>
                                  <a:tailEnd/>
                                </a:ln>
                              </pic:spPr>
                            </pic:pic>
                          </a:graphicData>
                        </a:graphic>
                      </wp:inline>
                    </w:drawing>
                  </w:r>
                </w:p>
                <w:p w:rsidR="005F37B6" w:rsidRPr="00B25938" w:rsidRDefault="005F37B6" w:rsidP="005F37B6">
                  <w:pPr>
                    <w:spacing w:line="276" w:lineRule="auto"/>
                    <w:jc w:val="both"/>
                    <w:rPr>
                      <w:rFonts w:ascii="Arial" w:hAnsi="Arial" w:cs="Arial"/>
                      <w:i/>
                      <w:sz w:val="20"/>
                      <w:szCs w:val="16"/>
                      <w:lang w:val="es-ES_tradnl"/>
                    </w:rPr>
                  </w:pPr>
                  <w:r w:rsidRPr="00B25938">
                    <w:rPr>
                      <w:rFonts w:ascii="Arial" w:hAnsi="Arial" w:cs="Arial"/>
                      <w:b/>
                      <w:sz w:val="20"/>
                      <w:szCs w:val="16"/>
                      <w:lang w:val="es-ES_tradnl"/>
                    </w:rPr>
                    <w:t>Figura 2</w:t>
                  </w:r>
                  <w:r w:rsidR="00C05DF4" w:rsidRPr="00B25938">
                    <w:rPr>
                      <w:rFonts w:ascii="Arial" w:hAnsi="Arial" w:cs="Arial"/>
                      <w:b/>
                      <w:sz w:val="20"/>
                      <w:szCs w:val="16"/>
                      <w:lang w:val="es-ES_tradnl"/>
                    </w:rPr>
                    <w:t>:</w:t>
                  </w:r>
                  <w:r w:rsidRPr="00B25938">
                    <w:rPr>
                      <w:rFonts w:ascii="Arial" w:hAnsi="Arial" w:cs="Arial"/>
                      <w:sz w:val="20"/>
                      <w:szCs w:val="16"/>
                      <w:lang w:val="es-ES_tradnl"/>
                    </w:rPr>
                    <w:t xml:space="preserve"> Cromatoplaca de </w:t>
                  </w:r>
                  <w:r w:rsidRPr="00B25938">
                    <w:rPr>
                      <w:rFonts w:ascii="Arial" w:hAnsi="Arial" w:cs="Arial"/>
                      <w:i/>
                      <w:sz w:val="20"/>
                      <w:szCs w:val="16"/>
                      <w:lang w:val="es-ES_tradnl"/>
                    </w:rPr>
                    <w:t>Guazuma ulmifolia</w:t>
                  </w:r>
                  <w:r w:rsidR="00C31912" w:rsidRPr="00B25938">
                    <w:rPr>
                      <w:rFonts w:ascii="Arial" w:hAnsi="Arial" w:cs="Arial"/>
                      <w:i/>
                      <w:sz w:val="20"/>
                      <w:szCs w:val="16"/>
                      <w:lang w:val="es-ES_tradnl"/>
                    </w:rPr>
                    <w:t xml:space="preserve"> </w:t>
                  </w:r>
                  <w:r w:rsidRPr="00B25938">
                    <w:rPr>
                      <w:rFonts w:ascii="Arial" w:hAnsi="Arial" w:cs="Arial"/>
                      <w:sz w:val="20"/>
                      <w:szCs w:val="16"/>
                      <w:lang w:val="es-ES_tradnl"/>
                    </w:rPr>
                    <w:t>Lam</w:t>
                  </w:r>
                  <w:r w:rsidR="00C31912" w:rsidRPr="00B25938">
                    <w:rPr>
                      <w:rFonts w:ascii="Arial" w:hAnsi="Arial" w:cs="Arial"/>
                      <w:sz w:val="20"/>
                      <w:szCs w:val="16"/>
                      <w:lang w:val="es-ES_tradnl"/>
                    </w:rPr>
                    <w:t xml:space="preserve"> </w:t>
                  </w:r>
                  <w:r w:rsidRPr="00B25938">
                    <w:rPr>
                      <w:rFonts w:ascii="Arial" w:hAnsi="Arial" w:cs="Arial"/>
                      <w:b/>
                      <w:sz w:val="20"/>
                      <w:szCs w:val="16"/>
                      <w:lang w:val="es-ES_tradnl"/>
                    </w:rPr>
                    <w:t>A)</w:t>
                  </w:r>
                  <w:r w:rsidRPr="00B25938">
                    <w:rPr>
                      <w:rFonts w:ascii="Arial" w:hAnsi="Arial" w:cs="Arial"/>
                      <w:sz w:val="20"/>
                      <w:szCs w:val="16"/>
                      <w:lang w:val="es-ES_tradnl"/>
                    </w:rPr>
                    <w:t xml:space="preserve"> vista en luz ultravioleta a 365nm, </w:t>
                  </w:r>
                  <w:r w:rsidRPr="00B25938">
                    <w:rPr>
                      <w:rFonts w:ascii="Arial" w:hAnsi="Arial" w:cs="Arial"/>
                      <w:b/>
                      <w:sz w:val="20"/>
                      <w:szCs w:val="16"/>
                      <w:lang w:val="es-ES_tradnl"/>
                    </w:rPr>
                    <w:t>B)</w:t>
                  </w:r>
                  <w:r w:rsidRPr="00B25938">
                    <w:rPr>
                      <w:rFonts w:ascii="Arial" w:hAnsi="Arial" w:cs="Arial"/>
                      <w:sz w:val="20"/>
                      <w:szCs w:val="16"/>
                      <w:lang w:val="es-ES_tradnl"/>
                    </w:rPr>
                    <w:t xml:space="preserve"> revelada con ácido sulfúrico al 10%</w:t>
                  </w:r>
                  <w:r w:rsidR="00C27EB8">
                    <w:rPr>
                      <w:rFonts w:ascii="Arial" w:hAnsi="Arial" w:cs="Arial"/>
                      <w:sz w:val="20"/>
                      <w:szCs w:val="16"/>
                      <w:lang w:val="es-ES_tradnl"/>
                    </w:rPr>
                    <w:t>.</w:t>
                  </w:r>
                </w:p>
                <w:p w:rsidR="005F37B6" w:rsidRPr="005F37B6" w:rsidRDefault="005F37B6" w:rsidP="005F37B6">
                  <w:pPr>
                    <w:jc w:val="center"/>
                    <w:rPr>
                      <w:lang w:val="es-ES_tradnl"/>
                    </w:rPr>
                  </w:pPr>
                </w:p>
                <w:p w:rsidR="005F37B6" w:rsidRDefault="005F37B6" w:rsidP="005F37B6">
                  <w:pPr>
                    <w:jc w:val="center"/>
                  </w:pPr>
                </w:p>
              </w:txbxContent>
            </v:textbox>
          </v:shape>
        </w:pict>
      </w: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F37B6" w:rsidRDefault="005F37B6" w:rsidP="005458AE">
      <w:pPr>
        <w:spacing w:line="276" w:lineRule="auto"/>
        <w:jc w:val="both"/>
        <w:rPr>
          <w:rFonts w:ascii="Arial" w:hAnsi="Arial" w:cs="Arial"/>
          <w:sz w:val="24"/>
          <w:szCs w:val="24"/>
          <w:lang w:val="es-ES_tradnl"/>
        </w:rPr>
      </w:pPr>
    </w:p>
    <w:p w:rsidR="005458AE" w:rsidRPr="005458AE" w:rsidRDefault="005458AE" w:rsidP="005458AE">
      <w:pPr>
        <w:spacing w:line="276" w:lineRule="auto"/>
        <w:jc w:val="center"/>
        <w:rPr>
          <w:rFonts w:ascii="Arial" w:hAnsi="Arial" w:cs="Arial"/>
          <w:noProof/>
          <w:sz w:val="24"/>
          <w:szCs w:val="24"/>
          <w:lang w:val="es-ES_tradnl"/>
        </w:rPr>
      </w:pPr>
    </w:p>
    <w:p w:rsidR="00B25938" w:rsidRDefault="00B25938" w:rsidP="00F2237E">
      <w:pPr>
        <w:spacing w:line="276" w:lineRule="auto"/>
        <w:jc w:val="both"/>
        <w:rPr>
          <w:rFonts w:ascii="Arial" w:hAnsi="Arial" w:cs="Arial"/>
          <w:sz w:val="24"/>
          <w:szCs w:val="24"/>
          <w:lang w:val="es-ES_tradnl"/>
        </w:rPr>
      </w:pPr>
    </w:p>
    <w:p w:rsidR="006C16D3" w:rsidRDefault="006C16D3" w:rsidP="00F2237E">
      <w:pPr>
        <w:spacing w:line="276" w:lineRule="auto"/>
        <w:jc w:val="both"/>
        <w:rPr>
          <w:rFonts w:ascii="Arial" w:hAnsi="Arial" w:cs="Arial"/>
          <w:sz w:val="24"/>
          <w:szCs w:val="24"/>
          <w:lang w:val="es-ES_tradnl"/>
        </w:rPr>
      </w:pPr>
      <w:r>
        <w:rPr>
          <w:rFonts w:ascii="Arial" w:hAnsi="Arial" w:cs="Arial"/>
          <w:sz w:val="24"/>
          <w:szCs w:val="24"/>
          <w:lang w:val="es-ES_tradnl"/>
        </w:rPr>
        <w:t>En el fraccionamiento preliminar en CC se obtuvieron 99 fracciones utilizando el siguiente gradiente de polaridad Hexano, cloroformo, Acetato de Etilo, Metanol y Agua. Las cuales fueron reunidas por similitud cromatogr</w:t>
      </w:r>
      <w:r w:rsidR="009C5853">
        <w:rPr>
          <w:rFonts w:ascii="Arial" w:hAnsi="Arial" w:cs="Arial"/>
          <w:sz w:val="24"/>
          <w:szCs w:val="24"/>
          <w:lang w:val="es-ES_tradnl"/>
        </w:rPr>
        <w:t>áfica, obteniendo un total de 25</w:t>
      </w:r>
      <w:r>
        <w:rPr>
          <w:rFonts w:ascii="Arial" w:hAnsi="Arial" w:cs="Arial"/>
          <w:sz w:val="24"/>
          <w:szCs w:val="24"/>
          <w:lang w:val="es-ES_tradnl"/>
        </w:rPr>
        <w:t xml:space="preserve"> reuni</w:t>
      </w:r>
      <w:r w:rsidR="0095043D">
        <w:rPr>
          <w:rFonts w:ascii="Arial" w:hAnsi="Arial" w:cs="Arial"/>
          <w:sz w:val="24"/>
          <w:szCs w:val="24"/>
          <w:lang w:val="es-ES_tradnl"/>
        </w:rPr>
        <w:t>ones (Figura 3).</w:t>
      </w:r>
    </w:p>
    <w:p w:rsidR="005F37B6" w:rsidRDefault="00CF2BBD" w:rsidP="00F2237E">
      <w:pPr>
        <w:spacing w:line="276" w:lineRule="auto"/>
        <w:jc w:val="both"/>
        <w:rPr>
          <w:rFonts w:ascii="Arial" w:hAnsi="Arial" w:cs="Arial"/>
          <w:sz w:val="24"/>
          <w:szCs w:val="24"/>
          <w:lang w:val="es-ES_tradnl"/>
        </w:rPr>
      </w:pPr>
      <w:r>
        <w:rPr>
          <w:rFonts w:ascii="Arial" w:hAnsi="Arial" w:cs="Arial"/>
          <w:noProof/>
          <w:sz w:val="24"/>
          <w:szCs w:val="24"/>
          <w:lang w:val="en-US"/>
        </w:rPr>
        <w:pict>
          <v:shape id="_x0000_s1037" type="#_x0000_t202" style="position:absolute;left:0;text-align:left;margin-left:74.55pt;margin-top:1.7pt;width:357.4pt;height:222.3pt;z-index:251660800" strokecolor="white [3212]">
            <v:textbox>
              <w:txbxContent>
                <w:p w:rsidR="005F37B6" w:rsidRDefault="005F37B6" w:rsidP="005F37B6">
                  <w:pPr>
                    <w:jc w:val="center"/>
                  </w:pPr>
                  <w:r>
                    <w:rPr>
                      <w:rFonts w:ascii="Arial" w:hAnsi="Arial" w:cs="Arial"/>
                      <w:noProof/>
                      <w:sz w:val="24"/>
                      <w:szCs w:val="24"/>
                      <w:lang w:val="en-US"/>
                    </w:rPr>
                    <w:drawing>
                      <wp:inline distT="0" distB="0" distL="0" distR="0">
                        <wp:extent cx="3143250" cy="2066925"/>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32695" t="28612" r="14673" b="9915"/>
                                <a:stretch>
                                  <a:fillRect/>
                                </a:stretch>
                              </pic:blipFill>
                              <pic:spPr bwMode="auto">
                                <a:xfrm>
                                  <a:off x="0" y="0"/>
                                  <a:ext cx="3143250" cy="2066925"/>
                                </a:xfrm>
                                <a:prstGeom prst="rect">
                                  <a:avLst/>
                                </a:prstGeom>
                                <a:noFill/>
                                <a:ln w="9525">
                                  <a:noFill/>
                                  <a:miter lim="800000"/>
                                  <a:headEnd/>
                                  <a:tailEnd/>
                                </a:ln>
                              </pic:spPr>
                            </pic:pic>
                          </a:graphicData>
                        </a:graphic>
                      </wp:inline>
                    </w:drawing>
                  </w:r>
                </w:p>
                <w:p w:rsidR="005F37B6" w:rsidRPr="00B25938" w:rsidRDefault="005F37B6" w:rsidP="00B25938">
                  <w:pPr>
                    <w:spacing w:line="276" w:lineRule="auto"/>
                    <w:jc w:val="both"/>
                    <w:rPr>
                      <w:rFonts w:ascii="Arial" w:hAnsi="Arial" w:cs="Arial"/>
                      <w:sz w:val="20"/>
                      <w:szCs w:val="16"/>
                      <w:lang w:val="es-ES_tradnl"/>
                    </w:rPr>
                  </w:pPr>
                  <w:r w:rsidRPr="00B25938">
                    <w:rPr>
                      <w:rFonts w:ascii="Arial" w:hAnsi="Arial" w:cs="Arial"/>
                      <w:b/>
                      <w:noProof/>
                      <w:sz w:val="20"/>
                      <w:szCs w:val="16"/>
                      <w:lang w:val="es-ES_tradnl"/>
                    </w:rPr>
                    <w:t>Figura 3.</w:t>
                  </w:r>
                  <w:r w:rsidRPr="00B25938">
                    <w:rPr>
                      <w:rFonts w:ascii="Arial" w:hAnsi="Arial" w:cs="Arial"/>
                      <w:noProof/>
                      <w:sz w:val="20"/>
                      <w:szCs w:val="16"/>
                      <w:lang w:val="es-ES_tradnl"/>
                    </w:rPr>
                    <w:t xml:space="preserve"> Cromatoplacas de fracciones obtenidas en la columna </w:t>
                  </w:r>
                  <w:r w:rsidRPr="00B25938">
                    <w:rPr>
                      <w:rFonts w:ascii="Arial" w:hAnsi="Arial" w:cs="Arial"/>
                      <w:b/>
                      <w:noProof/>
                      <w:sz w:val="20"/>
                      <w:szCs w:val="16"/>
                      <w:lang w:val="es-ES_tradnl"/>
                    </w:rPr>
                    <w:t>A)</w:t>
                  </w:r>
                  <w:r w:rsidRPr="00B25938">
                    <w:rPr>
                      <w:rFonts w:ascii="Arial" w:hAnsi="Arial" w:cs="Arial"/>
                      <w:noProof/>
                      <w:sz w:val="20"/>
                      <w:szCs w:val="16"/>
                      <w:lang w:val="es-ES_tradnl"/>
                    </w:rPr>
                    <w:t xml:space="preserve"> revelada con ácido sulfúrico al 10%, </w:t>
                  </w:r>
                  <w:r w:rsidRPr="00B25938">
                    <w:rPr>
                      <w:rFonts w:ascii="Arial" w:hAnsi="Arial" w:cs="Arial"/>
                      <w:b/>
                      <w:noProof/>
                      <w:sz w:val="20"/>
                      <w:szCs w:val="16"/>
                      <w:lang w:val="es-ES_tradnl"/>
                    </w:rPr>
                    <w:t>B)</w:t>
                  </w:r>
                  <w:r w:rsidRPr="00B25938">
                    <w:rPr>
                      <w:rFonts w:ascii="Arial" w:hAnsi="Arial" w:cs="Arial"/>
                      <w:noProof/>
                      <w:sz w:val="20"/>
                      <w:szCs w:val="16"/>
                      <w:lang w:val="es-ES_tradnl"/>
                    </w:rPr>
                    <w:t xml:space="preserve"> revelada en luz ultravioleta a 254 nm</w:t>
                  </w:r>
                  <w:r w:rsidR="00C27EB8">
                    <w:rPr>
                      <w:rFonts w:ascii="Arial" w:hAnsi="Arial" w:cs="Arial"/>
                      <w:noProof/>
                      <w:sz w:val="20"/>
                      <w:szCs w:val="16"/>
                      <w:lang w:val="es-ES_tradnl"/>
                    </w:rPr>
                    <w:t>.</w:t>
                  </w:r>
                </w:p>
                <w:p w:rsidR="005F37B6" w:rsidRPr="005F37B6" w:rsidRDefault="005F37B6" w:rsidP="005F37B6">
                  <w:pPr>
                    <w:jc w:val="center"/>
                    <w:rPr>
                      <w:lang w:val="es-ES_tradnl"/>
                    </w:rPr>
                  </w:pPr>
                </w:p>
                <w:p w:rsidR="005F37B6" w:rsidRDefault="005F37B6" w:rsidP="005F37B6">
                  <w:pPr>
                    <w:jc w:val="center"/>
                  </w:pPr>
                </w:p>
                <w:p w:rsidR="005F37B6" w:rsidRDefault="005F37B6" w:rsidP="005F37B6">
                  <w:pPr>
                    <w:jc w:val="center"/>
                  </w:pPr>
                </w:p>
              </w:txbxContent>
            </v:textbox>
          </v:shape>
        </w:pict>
      </w: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5F37B6" w:rsidRDefault="005F37B6" w:rsidP="00F2237E">
      <w:pPr>
        <w:spacing w:line="276" w:lineRule="auto"/>
        <w:jc w:val="both"/>
        <w:rPr>
          <w:rFonts w:ascii="Arial" w:hAnsi="Arial" w:cs="Arial"/>
          <w:sz w:val="24"/>
          <w:szCs w:val="24"/>
          <w:lang w:val="es-ES_tradnl"/>
        </w:rPr>
      </w:pPr>
    </w:p>
    <w:p w:rsidR="006C16D3" w:rsidRDefault="006C16D3" w:rsidP="00F2237E">
      <w:pPr>
        <w:spacing w:after="200" w:line="276" w:lineRule="auto"/>
        <w:jc w:val="both"/>
        <w:rPr>
          <w:rFonts w:ascii="Arial" w:hAnsi="Arial" w:cs="Arial"/>
          <w:b/>
          <w:sz w:val="24"/>
          <w:szCs w:val="24"/>
        </w:rPr>
      </w:pPr>
      <w:r w:rsidRPr="00D4429E">
        <w:rPr>
          <w:rFonts w:ascii="Arial" w:hAnsi="Arial" w:cs="Arial"/>
          <w:sz w:val="24"/>
          <w:szCs w:val="24"/>
        </w:rPr>
        <w:lastRenderedPageBreak/>
        <w:t xml:space="preserve">En el estudio de toxicidad oral aguda de EHAGu, se presentaron signos de letargo con comportamiento errático posterior a la administración durante las primeras cuatro horas. Se registraron tres decesos, el primero en uno de los animales administrados con 300 mg/kg dentro del primer minuto. Dentro del grupo administrado con una dosis de 2,000 mg/Kg se presentó el deceso de 2 animales (figura </w:t>
      </w:r>
      <w:r w:rsidR="0095043D">
        <w:rPr>
          <w:rFonts w:ascii="Arial" w:hAnsi="Arial" w:cs="Arial"/>
          <w:sz w:val="24"/>
          <w:szCs w:val="24"/>
        </w:rPr>
        <w:t>4</w:t>
      </w:r>
      <w:r>
        <w:rPr>
          <w:rFonts w:ascii="Arial" w:hAnsi="Arial" w:cs="Arial"/>
          <w:sz w:val="24"/>
          <w:szCs w:val="24"/>
        </w:rPr>
        <w:t>)</w:t>
      </w:r>
      <w:r w:rsidRPr="00D4429E">
        <w:rPr>
          <w:rFonts w:ascii="Arial" w:hAnsi="Arial" w:cs="Arial"/>
          <w:sz w:val="24"/>
          <w:szCs w:val="24"/>
        </w:rPr>
        <w:t xml:space="preserve">. </w:t>
      </w:r>
    </w:p>
    <w:p w:rsidR="006C16D3" w:rsidRDefault="00CF2BBD" w:rsidP="00F2237E">
      <w:pPr>
        <w:spacing w:line="276" w:lineRule="auto"/>
        <w:jc w:val="both"/>
        <w:rPr>
          <w:rFonts w:ascii="Arial" w:hAnsi="Arial" w:cs="Arial"/>
          <w:b/>
          <w:sz w:val="24"/>
          <w:szCs w:val="24"/>
        </w:rPr>
      </w:pPr>
      <w:r w:rsidRPr="00CF2BBD">
        <w:rPr>
          <w:noProof/>
          <w:lang w:val="es-ES" w:eastAsia="es-ES"/>
        </w:rPr>
        <w:pict>
          <v:shape id="Cuadro de texto 3" o:spid="_x0000_s1027" type="#_x0000_t202" style="position:absolute;left:0;text-align:left;margin-left:19.7pt;margin-top:8.85pt;width:426.05pt;height:31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" stroked="f" strokeweight=".5pt">
            <v:textbox>
              <w:txbxContent>
                <w:p w:rsidR="006C16D3" w:rsidRDefault="00B951C3" w:rsidP="00F2237E">
                  <w:pPr>
                    <w:jc w:val="center"/>
                  </w:pPr>
                  <w:r w:rsidRPr="00CF2BBD">
                    <w:rPr>
                      <w:noProof/>
                      <w:lang w:val="es-ES" w:eastAsia="es-ES"/>
                    </w:rPr>
                    <w:pict>
                      <v:shape id="image2.png" o:spid="_x0000_i1027" type="#_x0000_t75" style="width:391.1pt;height:277.65pt;visibility:visible">
                        <v:imagedata r:id="rId13" o:title="" cropright="30014f"/>
                      </v:shape>
                    </w:pict>
                  </w:r>
                </w:p>
                <w:p w:rsidR="006C16D3" w:rsidRPr="00B25938" w:rsidRDefault="006C16D3" w:rsidP="00F2237E">
                  <w:pPr>
                    <w:jc w:val="center"/>
                    <w:rPr>
                      <w:rFonts w:ascii="Arial" w:hAnsi="Arial" w:cs="Arial"/>
                      <w:sz w:val="20"/>
                      <w:szCs w:val="16"/>
                    </w:rPr>
                  </w:pPr>
                  <w:r w:rsidRPr="00B25938">
                    <w:rPr>
                      <w:rFonts w:ascii="Arial" w:hAnsi="Arial" w:cs="Arial"/>
                      <w:b/>
                      <w:sz w:val="20"/>
                      <w:szCs w:val="16"/>
                    </w:rPr>
                    <w:t xml:space="preserve">Figura </w:t>
                  </w:r>
                  <w:r w:rsidR="0095043D" w:rsidRPr="00B25938">
                    <w:rPr>
                      <w:rFonts w:ascii="Arial" w:hAnsi="Arial" w:cs="Arial"/>
                      <w:b/>
                      <w:sz w:val="20"/>
                      <w:szCs w:val="16"/>
                    </w:rPr>
                    <w:t>4</w:t>
                  </w:r>
                  <w:r w:rsidRPr="00B25938">
                    <w:rPr>
                      <w:rFonts w:ascii="Arial" w:hAnsi="Arial" w:cs="Arial"/>
                      <w:b/>
                      <w:sz w:val="20"/>
                      <w:szCs w:val="16"/>
                    </w:rPr>
                    <w:t>.</w:t>
                  </w:r>
                  <w:r w:rsidRPr="00B25938">
                    <w:rPr>
                      <w:rFonts w:ascii="Arial" w:hAnsi="Arial" w:cs="Arial"/>
                      <w:sz w:val="20"/>
                      <w:szCs w:val="16"/>
                    </w:rPr>
                    <w:t xml:space="preserve"> Resultados del ensayo de toxicidad oral aguda de EHAGu (protocolo OECD-423).</w:t>
                  </w:r>
                </w:p>
              </w:txbxContent>
            </v:textbox>
          </v:shape>
        </w:pict>
      </w: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6C16D3" w:rsidRDefault="006C16D3" w:rsidP="00F2237E">
      <w:pPr>
        <w:spacing w:line="276" w:lineRule="auto"/>
        <w:jc w:val="both"/>
        <w:rPr>
          <w:rFonts w:ascii="Arial" w:hAnsi="Arial" w:cs="Arial"/>
          <w:b/>
          <w:sz w:val="24"/>
          <w:szCs w:val="24"/>
        </w:rPr>
      </w:pPr>
    </w:p>
    <w:p w:rsidR="00BF1FDE" w:rsidRDefault="00BF1FDE" w:rsidP="00F2237E">
      <w:pPr>
        <w:spacing w:line="276" w:lineRule="auto"/>
        <w:jc w:val="both"/>
        <w:rPr>
          <w:rFonts w:ascii="Arial" w:hAnsi="Arial" w:cs="Arial"/>
          <w:b/>
          <w:sz w:val="24"/>
          <w:szCs w:val="24"/>
        </w:rPr>
      </w:pPr>
      <w:r w:rsidRPr="00BF1FD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F1FDE" w:rsidRDefault="00BF1FDE" w:rsidP="00BF1FDE">
      <w:pPr>
        <w:spacing w:line="276" w:lineRule="auto"/>
        <w:jc w:val="center"/>
        <w:rPr>
          <w:rFonts w:ascii="Arial" w:hAnsi="Arial" w:cs="Arial"/>
          <w:b/>
          <w:sz w:val="24"/>
          <w:szCs w:val="24"/>
        </w:rPr>
      </w:pPr>
    </w:p>
    <w:p w:rsidR="00BF1FDE" w:rsidRDefault="00BF1FDE" w:rsidP="00F2237E">
      <w:pPr>
        <w:spacing w:line="276" w:lineRule="auto"/>
        <w:jc w:val="both"/>
        <w:rPr>
          <w:rFonts w:ascii="Arial" w:hAnsi="Arial" w:cs="Arial"/>
          <w:b/>
          <w:sz w:val="24"/>
          <w:szCs w:val="24"/>
        </w:rPr>
      </w:pPr>
    </w:p>
    <w:p w:rsidR="00BF1FDE" w:rsidRDefault="00BF1FDE" w:rsidP="00F2237E">
      <w:pPr>
        <w:spacing w:line="276" w:lineRule="auto"/>
        <w:jc w:val="both"/>
        <w:rPr>
          <w:rFonts w:ascii="Arial" w:hAnsi="Arial" w:cs="Arial"/>
          <w:b/>
          <w:sz w:val="24"/>
          <w:szCs w:val="24"/>
        </w:rPr>
      </w:pPr>
    </w:p>
    <w:p w:rsidR="00BF1FDE" w:rsidRDefault="00BF1FDE" w:rsidP="00F2237E">
      <w:pPr>
        <w:spacing w:line="276" w:lineRule="auto"/>
        <w:jc w:val="both"/>
        <w:rPr>
          <w:rFonts w:ascii="Arial" w:hAnsi="Arial" w:cs="Arial"/>
          <w:b/>
          <w:sz w:val="24"/>
          <w:szCs w:val="24"/>
        </w:rPr>
      </w:pPr>
    </w:p>
    <w:p w:rsidR="00B25938" w:rsidRPr="00B25938" w:rsidRDefault="00B25938" w:rsidP="00B25938">
      <w:pPr>
        <w:spacing w:line="276" w:lineRule="auto"/>
        <w:jc w:val="both"/>
        <w:rPr>
          <w:rFonts w:ascii="Arial" w:hAnsi="Arial" w:cs="Arial"/>
          <w:b/>
          <w:sz w:val="24"/>
          <w:szCs w:val="24"/>
        </w:rPr>
      </w:pPr>
      <w:r w:rsidRPr="00D4429E">
        <w:rPr>
          <w:rFonts w:ascii="Arial" w:hAnsi="Arial" w:cs="Arial"/>
          <w:sz w:val="24"/>
          <w:szCs w:val="24"/>
        </w:rPr>
        <w:t>Al practicar necropsia a los animales no se encontraron alteraciones macroscópicas en los órganos examinados. Lo anterior permitió clasificar al EHAGu en la categoría 4 (300-2000 mg/Kg) acorde al Sistema Globalmente Armonizado (GSH) esta categoría nos indica que puede ser nocivo para la salud en caso de ingestión por periodos prolongados. Basándose en la guía 423 de la OECD, se calculó la DL</w:t>
      </w:r>
      <w:r w:rsidRPr="00D4429E">
        <w:rPr>
          <w:rFonts w:ascii="Arial" w:hAnsi="Arial" w:cs="Arial"/>
          <w:sz w:val="24"/>
          <w:szCs w:val="24"/>
          <w:vertAlign w:val="subscript"/>
        </w:rPr>
        <w:t>50</w:t>
      </w:r>
      <w:r w:rsidRPr="00D4429E">
        <w:rPr>
          <w:rFonts w:ascii="Arial" w:hAnsi="Arial" w:cs="Arial"/>
          <w:sz w:val="24"/>
          <w:szCs w:val="24"/>
        </w:rPr>
        <w:t xml:space="preserve"> del EHAGu correspo</w:t>
      </w:r>
      <w:r>
        <w:rPr>
          <w:rFonts w:ascii="Arial" w:hAnsi="Arial" w:cs="Arial"/>
          <w:sz w:val="24"/>
          <w:szCs w:val="24"/>
        </w:rPr>
        <w:t>ndiente a 1000 mg/Kg.</w:t>
      </w:r>
    </w:p>
    <w:p w:rsidR="006C16D3" w:rsidRPr="009D1921" w:rsidRDefault="00CF2BBD" w:rsidP="00F2237E">
      <w:pPr>
        <w:spacing w:line="276" w:lineRule="auto"/>
        <w:jc w:val="both"/>
        <w:rPr>
          <w:rFonts w:ascii="Arial" w:hAnsi="Arial" w:cs="Arial"/>
          <w:b/>
          <w:sz w:val="24"/>
          <w:szCs w:val="24"/>
        </w:rPr>
      </w:pPr>
      <w:r>
        <w:rPr>
          <w:rFonts w:ascii="Arial" w:hAnsi="Arial" w:cs="Arial"/>
          <w:b/>
          <w:noProof/>
          <w:sz w:val="24"/>
          <w:szCs w:val="24"/>
          <w:lang w:val="en-US"/>
        </w:rPr>
        <w:lastRenderedPageBreak/>
        <w:pict>
          <v:shape id="_x0000_s1043" type="#_x0000_t202" style="position:absolute;left:0;text-align:left;margin-left:-4.75pt;margin-top:2.3pt;width:463.2pt;height:529.8pt;z-index:251662848" strokecolor="white [3212]">
            <v:textbox style="mso-next-textbox:#_x0000_s1043">
              <w:txbxContent>
                <w:p w:rsidR="004A5DF4" w:rsidRDefault="00B25938" w:rsidP="004A5DF4">
                  <w:pPr>
                    <w:jc w:val="center"/>
                    <w:rPr>
                      <w:rFonts w:ascii="Arial" w:hAnsi="Arial" w:cs="Arial"/>
                      <w:b/>
                      <w:noProof/>
                      <w:sz w:val="24"/>
                      <w:szCs w:val="24"/>
                    </w:rPr>
                  </w:pPr>
                  <w:r w:rsidRPr="00BF1FDE">
                    <w:rPr>
                      <w:noProof/>
                      <w:lang w:val="en-US"/>
                    </w:rPr>
                    <w:drawing>
                      <wp:inline distT="0" distB="0" distL="0" distR="0">
                        <wp:extent cx="4149751" cy="2018996"/>
                        <wp:effectExtent l="19050" t="0" r="3149" b="0"/>
                        <wp:docPr id="62" name="Imagen 15" descr="C:\Users\HP\Pictures\Victoria 50mg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ictures\Victoria 50mgKg.JPG"/>
                                <pic:cNvPicPr>
                                  <a:picLocks noChangeAspect="1" noChangeArrowheads="1"/>
                                </pic:cNvPicPr>
                              </pic:nvPicPr>
                              <pic:blipFill>
                                <a:blip r:embed="rId14"/>
                                <a:srcRect t="8457" b="6273"/>
                                <a:stretch>
                                  <a:fillRect/>
                                </a:stretch>
                              </pic:blipFill>
                              <pic:spPr bwMode="auto">
                                <a:xfrm>
                                  <a:off x="0" y="0"/>
                                  <a:ext cx="4149751" cy="2018996"/>
                                </a:xfrm>
                                <a:prstGeom prst="rect">
                                  <a:avLst/>
                                </a:prstGeom>
                                <a:noFill/>
                                <a:ln w="9525">
                                  <a:noFill/>
                                  <a:miter lim="800000"/>
                                  <a:headEnd/>
                                  <a:tailEnd/>
                                </a:ln>
                              </pic:spPr>
                            </pic:pic>
                          </a:graphicData>
                        </a:graphic>
                      </wp:inline>
                    </w:drawing>
                  </w:r>
                </w:p>
                <w:p w:rsidR="00B25938" w:rsidRDefault="00B25938" w:rsidP="004A5DF4">
                  <w:pPr>
                    <w:jc w:val="center"/>
                    <w:rPr>
                      <w:rFonts w:ascii="Arial" w:hAnsi="Arial" w:cs="Arial"/>
                      <w:b/>
                      <w:noProof/>
                      <w:sz w:val="24"/>
                      <w:szCs w:val="24"/>
                    </w:rPr>
                  </w:pPr>
                  <w:r w:rsidRPr="00BF1FDE">
                    <w:rPr>
                      <w:rFonts w:ascii="Arial" w:hAnsi="Arial" w:cs="Arial"/>
                      <w:b/>
                      <w:noProof/>
                      <w:sz w:val="24"/>
                      <w:szCs w:val="24"/>
                      <w:lang w:val="en-US"/>
                    </w:rPr>
                    <w:drawing>
                      <wp:inline distT="0" distB="0" distL="0" distR="0">
                        <wp:extent cx="4415531" cy="1789095"/>
                        <wp:effectExtent l="19050" t="0" r="4069" b="0"/>
                        <wp:docPr id="63" name="Imagen 16" descr="C:\Users\HP\Pictures\Victoria 30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Victoria 300mg.JPG"/>
                                <pic:cNvPicPr>
                                  <a:picLocks noChangeAspect="1" noChangeArrowheads="1"/>
                                </pic:cNvPicPr>
                              </pic:nvPicPr>
                              <pic:blipFill>
                                <a:blip r:embed="rId15"/>
                                <a:srcRect t="11905" b="15873"/>
                                <a:stretch>
                                  <a:fillRect/>
                                </a:stretch>
                              </pic:blipFill>
                              <pic:spPr bwMode="auto">
                                <a:xfrm>
                                  <a:off x="0" y="0"/>
                                  <a:ext cx="4418527" cy="1790309"/>
                                </a:xfrm>
                                <a:prstGeom prst="rect">
                                  <a:avLst/>
                                </a:prstGeom>
                                <a:noFill/>
                                <a:ln w="9525">
                                  <a:noFill/>
                                  <a:miter lim="800000"/>
                                  <a:headEnd/>
                                  <a:tailEnd/>
                                </a:ln>
                              </pic:spPr>
                            </pic:pic>
                          </a:graphicData>
                        </a:graphic>
                      </wp:inline>
                    </w:drawing>
                  </w:r>
                </w:p>
                <w:p w:rsidR="00B25938" w:rsidRPr="00BF1FDE" w:rsidRDefault="00B25938" w:rsidP="004A5DF4">
                  <w:pPr>
                    <w:jc w:val="center"/>
                    <w:rPr>
                      <w:rFonts w:ascii="Arial" w:hAnsi="Arial" w:cs="Arial"/>
                      <w:b/>
                      <w:noProof/>
                      <w:sz w:val="24"/>
                      <w:szCs w:val="24"/>
                    </w:rPr>
                  </w:pPr>
                  <w:r w:rsidRPr="00BF1FDE">
                    <w:rPr>
                      <w:rFonts w:ascii="Arial" w:hAnsi="Arial" w:cs="Arial"/>
                      <w:b/>
                      <w:noProof/>
                      <w:sz w:val="24"/>
                      <w:szCs w:val="24"/>
                      <w:lang w:val="en-US"/>
                    </w:rPr>
                    <w:drawing>
                      <wp:inline distT="0" distB="0" distL="0" distR="0">
                        <wp:extent cx="4421276" cy="1843430"/>
                        <wp:effectExtent l="19050" t="0" r="0" b="0"/>
                        <wp:docPr id="64" name="Imagen 17" descr="C:\Users\HP\Pictures\Victoria 200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Pictures\Victoria 2000mg.JPG"/>
                                <pic:cNvPicPr>
                                  <a:picLocks noChangeAspect="1" noChangeArrowheads="1"/>
                                </pic:cNvPicPr>
                              </pic:nvPicPr>
                              <pic:blipFill>
                                <a:blip r:embed="rId16"/>
                                <a:srcRect t="10819" b="11280"/>
                                <a:stretch>
                                  <a:fillRect/>
                                </a:stretch>
                              </pic:blipFill>
                              <pic:spPr bwMode="auto">
                                <a:xfrm>
                                  <a:off x="0" y="0"/>
                                  <a:ext cx="4421276" cy="1843430"/>
                                </a:xfrm>
                                <a:prstGeom prst="rect">
                                  <a:avLst/>
                                </a:prstGeom>
                                <a:noFill/>
                                <a:ln w="9525">
                                  <a:noFill/>
                                  <a:miter lim="800000"/>
                                  <a:headEnd/>
                                  <a:tailEnd/>
                                </a:ln>
                              </pic:spPr>
                            </pic:pic>
                          </a:graphicData>
                        </a:graphic>
                      </wp:inline>
                    </w:drawing>
                  </w:r>
                </w:p>
                <w:p w:rsidR="00B25938" w:rsidRPr="00BF1FDE" w:rsidRDefault="00B25938" w:rsidP="004A5DF4">
                  <w:pPr>
                    <w:jc w:val="both"/>
                    <w:rPr>
                      <w:rFonts w:ascii="Arial" w:hAnsi="Arial" w:cs="Arial"/>
                      <w:b/>
                      <w:noProof/>
                      <w:sz w:val="24"/>
                      <w:szCs w:val="24"/>
                    </w:rPr>
                  </w:pPr>
                  <w:r w:rsidRPr="00BF1FDE">
                    <w:rPr>
                      <w:rFonts w:ascii="Arial" w:hAnsi="Arial" w:cs="Arial"/>
                      <w:b/>
                      <w:noProof/>
                      <w:sz w:val="24"/>
                      <w:szCs w:val="24"/>
                    </w:rPr>
                    <w:t>Figura 5.</w:t>
                  </w:r>
                  <w:r>
                    <w:rPr>
                      <w:rFonts w:ascii="Arial" w:hAnsi="Arial" w:cs="Arial"/>
                      <w:noProof/>
                      <w:sz w:val="24"/>
                      <w:szCs w:val="24"/>
                    </w:rPr>
                    <w:t xml:space="preserve"> </w:t>
                  </w:r>
                  <w:r w:rsidRPr="004A5DF4">
                    <w:rPr>
                      <w:rFonts w:ascii="Arial" w:hAnsi="Arial" w:cs="Arial"/>
                      <w:noProof/>
                      <w:szCs w:val="24"/>
                    </w:rPr>
                    <w:t>Gráficas de variación de peso de toxicidad oral aguda del EHAGu en dosis de 50,300,2,000 mg/kg. No se encontró estadistica significativa mediante la prueba t de student</w:t>
                  </w:r>
                  <w:r w:rsidR="004A5DF4" w:rsidRPr="004A5DF4">
                    <w:rPr>
                      <w:rFonts w:ascii="Arial" w:hAnsi="Arial" w:cs="Arial"/>
                      <w:noProof/>
                      <w:szCs w:val="24"/>
                    </w:rPr>
                    <w:t>.</w:t>
                  </w:r>
                </w:p>
              </w:txbxContent>
            </v:textbox>
            <w10:wrap type="square"/>
          </v:shape>
        </w:pict>
      </w:r>
      <w:r w:rsidR="00B25938">
        <w:rPr>
          <w:rFonts w:ascii="Arial" w:hAnsi="Arial" w:cs="Arial"/>
          <w:b/>
          <w:sz w:val="24"/>
          <w:szCs w:val="24"/>
        </w:rPr>
        <w:br w:type="page"/>
      </w:r>
      <w:r w:rsidR="006C16D3" w:rsidRPr="009D1921">
        <w:rPr>
          <w:rFonts w:ascii="Arial" w:hAnsi="Arial" w:cs="Arial"/>
          <w:b/>
          <w:sz w:val="24"/>
          <w:szCs w:val="24"/>
        </w:rPr>
        <w:lastRenderedPageBreak/>
        <w:t>CONCLUSIONES</w:t>
      </w:r>
    </w:p>
    <w:p w:rsidR="006C16D3" w:rsidRDefault="006C16D3" w:rsidP="00F2237E">
      <w:pPr>
        <w:spacing w:line="276" w:lineRule="auto"/>
        <w:jc w:val="both"/>
        <w:rPr>
          <w:rFonts w:ascii="Arial" w:hAnsi="Arial" w:cs="Arial"/>
          <w:sz w:val="24"/>
          <w:szCs w:val="24"/>
        </w:rPr>
      </w:pPr>
      <w:r>
        <w:rPr>
          <w:rFonts w:ascii="Arial" w:hAnsi="Arial" w:cs="Arial"/>
          <w:sz w:val="24"/>
          <w:szCs w:val="24"/>
        </w:rPr>
        <w:t>Como resultado del fraccionamiento cromatográfico se obtuvieron 99 faccion</w:t>
      </w:r>
      <w:r w:rsidR="009C5853">
        <w:rPr>
          <w:rFonts w:ascii="Arial" w:hAnsi="Arial" w:cs="Arial"/>
          <w:sz w:val="24"/>
          <w:szCs w:val="24"/>
        </w:rPr>
        <w:t>es las cuales se reunieron en 25</w:t>
      </w:r>
      <w:r>
        <w:rPr>
          <w:rFonts w:ascii="Arial" w:hAnsi="Arial" w:cs="Arial"/>
          <w:sz w:val="24"/>
          <w:szCs w:val="24"/>
        </w:rPr>
        <w:t xml:space="preserve"> grupos. Producto de este fraccionamiento cromatográfico podemos concluir preliminarmente que el EHAGu contiene al menos 10 compuestos mayoritarios, que se encuentran en proceso de elucidación estructural.</w:t>
      </w:r>
    </w:p>
    <w:p w:rsidR="006C16D3" w:rsidRDefault="006C16D3" w:rsidP="00F2237E">
      <w:pPr>
        <w:spacing w:line="276" w:lineRule="auto"/>
        <w:jc w:val="both"/>
        <w:rPr>
          <w:rFonts w:ascii="Arial" w:hAnsi="Arial" w:cs="Arial"/>
          <w:sz w:val="24"/>
          <w:szCs w:val="24"/>
        </w:rPr>
      </w:pPr>
      <w:r>
        <w:rPr>
          <w:rFonts w:ascii="Arial" w:hAnsi="Arial" w:cs="Arial"/>
          <w:sz w:val="24"/>
          <w:szCs w:val="24"/>
        </w:rPr>
        <w:t>Adicionalmente, como resultado del ensayo de TOA, realizado con base en el protocolo 423 de la OECD, se demostró que el EHAGu evaluado a las dosis de 50, 300, y 2,000 mg/kg es potencialmente tóxico y fue clasificado en la categoría 4 del sistema globalmente armonizado (GSH) con una DL</w:t>
      </w:r>
      <w:r w:rsidRPr="003A2A54">
        <w:rPr>
          <w:rFonts w:ascii="Arial" w:hAnsi="Arial" w:cs="Arial"/>
          <w:sz w:val="24"/>
          <w:szCs w:val="24"/>
          <w:vertAlign w:val="subscript"/>
        </w:rPr>
        <w:t>50</w:t>
      </w:r>
      <w:r>
        <w:rPr>
          <w:rFonts w:ascii="Arial" w:hAnsi="Arial" w:cs="Arial"/>
          <w:sz w:val="24"/>
          <w:szCs w:val="24"/>
        </w:rPr>
        <w:t xml:space="preserve"> entre 300-2000 mg/Kg. Con los resultados anteriores podemos afirmar que el</w:t>
      </w:r>
      <w:r w:rsidRPr="000B2D2E">
        <w:rPr>
          <w:rFonts w:ascii="Arial" w:hAnsi="Arial" w:cs="Arial"/>
          <w:sz w:val="24"/>
          <w:szCs w:val="24"/>
        </w:rPr>
        <w:t xml:space="preserve"> EHAGu se considera nocivo para la salud en caso de ser administrado por periodos prolongados</w:t>
      </w:r>
      <w:r>
        <w:rPr>
          <w:rFonts w:ascii="Arial" w:hAnsi="Arial" w:cs="Arial"/>
          <w:sz w:val="24"/>
          <w:szCs w:val="24"/>
        </w:rPr>
        <w:t>,</w:t>
      </w:r>
      <w:r w:rsidR="005E0692">
        <w:rPr>
          <w:rFonts w:ascii="Arial" w:hAnsi="Arial" w:cs="Arial"/>
          <w:sz w:val="24"/>
          <w:szCs w:val="24"/>
        </w:rPr>
        <w:t xml:space="preserve"> </w:t>
      </w:r>
      <w:r>
        <w:rPr>
          <w:rFonts w:ascii="Arial" w:hAnsi="Arial" w:cs="Arial"/>
          <w:sz w:val="24"/>
          <w:szCs w:val="24"/>
        </w:rPr>
        <w:t>calculándose acorde al algoritmo de la guía 423 de la OECD</w:t>
      </w:r>
      <w:r w:rsidR="005E0692">
        <w:rPr>
          <w:rFonts w:ascii="Arial" w:hAnsi="Arial" w:cs="Arial"/>
          <w:sz w:val="24"/>
          <w:szCs w:val="24"/>
        </w:rPr>
        <w:t xml:space="preserve"> </w:t>
      </w:r>
      <w:r>
        <w:rPr>
          <w:rFonts w:ascii="Arial" w:hAnsi="Arial" w:cs="Arial"/>
          <w:sz w:val="24"/>
          <w:szCs w:val="24"/>
        </w:rPr>
        <w:t xml:space="preserve">un valor de cohorte de </w:t>
      </w:r>
      <w:r w:rsidRPr="000B2D2E">
        <w:rPr>
          <w:rFonts w:ascii="Arial" w:hAnsi="Arial" w:cs="Arial"/>
          <w:sz w:val="24"/>
          <w:szCs w:val="24"/>
        </w:rPr>
        <w:t>1</w:t>
      </w:r>
      <w:r>
        <w:rPr>
          <w:rFonts w:ascii="Arial" w:hAnsi="Arial" w:cs="Arial"/>
          <w:sz w:val="24"/>
          <w:szCs w:val="24"/>
        </w:rPr>
        <w:t>,</w:t>
      </w:r>
      <w:r w:rsidRPr="000B2D2E">
        <w:rPr>
          <w:rFonts w:ascii="Arial" w:hAnsi="Arial" w:cs="Arial"/>
          <w:sz w:val="24"/>
          <w:szCs w:val="24"/>
        </w:rPr>
        <w:t>000 mg/Kg.</w:t>
      </w:r>
    </w:p>
    <w:p w:rsidR="006C16D3" w:rsidRDefault="006C16D3" w:rsidP="00F2237E">
      <w:pPr>
        <w:spacing w:line="276" w:lineRule="auto"/>
        <w:jc w:val="both"/>
        <w:rPr>
          <w:rFonts w:ascii="Arial" w:hAnsi="Arial" w:cs="Arial"/>
          <w:sz w:val="24"/>
          <w:szCs w:val="24"/>
        </w:rPr>
      </w:pPr>
    </w:p>
    <w:p w:rsidR="006C16D3" w:rsidRDefault="006C16D3" w:rsidP="00F2237E">
      <w:pPr>
        <w:spacing w:line="276" w:lineRule="auto"/>
        <w:jc w:val="both"/>
        <w:rPr>
          <w:rFonts w:ascii="Arial" w:hAnsi="Arial" w:cs="Arial"/>
          <w:b/>
          <w:sz w:val="24"/>
          <w:szCs w:val="24"/>
        </w:rPr>
      </w:pPr>
      <w:r w:rsidRPr="000B2D2E">
        <w:rPr>
          <w:rFonts w:ascii="Arial" w:hAnsi="Arial" w:cs="Arial"/>
          <w:b/>
          <w:sz w:val="24"/>
          <w:szCs w:val="24"/>
        </w:rPr>
        <w:t>BIBLIOGRAFÍA.</w:t>
      </w:r>
    </w:p>
    <w:p w:rsidR="006C16D3" w:rsidRPr="000B2D2E" w:rsidRDefault="006C16D3" w:rsidP="00F2237E">
      <w:pPr>
        <w:widowControl w:val="0"/>
        <w:numPr>
          <w:ilvl w:val="0"/>
          <w:numId w:val="1"/>
        </w:numPr>
        <w:spacing w:after="0" w:line="276" w:lineRule="auto"/>
        <w:ind w:hanging="360"/>
        <w:contextualSpacing/>
        <w:jc w:val="both"/>
        <w:rPr>
          <w:rFonts w:ascii="Arial" w:hAnsi="Arial" w:cs="Arial"/>
          <w:sz w:val="24"/>
          <w:szCs w:val="24"/>
        </w:rPr>
      </w:pPr>
      <w:r w:rsidRPr="000B2D2E">
        <w:rPr>
          <w:rFonts w:ascii="Arial" w:hAnsi="Arial" w:cs="Arial"/>
          <w:sz w:val="24"/>
          <w:szCs w:val="24"/>
        </w:rPr>
        <w:t xml:space="preserve">Guazuma ulmifolia Lam. Publicado en: Comisión Nacional Forestal (CONAFOR) </w:t>
      </w:r>
      <w:r w:rsidRPr="000B2D2E">
        <w:rPr>
          <w:rFonts w:ascii="Arial" w:hAnsi="Arial" w:cs="Arial"/>
          <w:sz w:val="24"/>
          <w:szCs w:val="24"/>
          <w:u w:val="single"/>
        </w:rPr>
        <w:t>[</w:t>
      </w:r>
      <w:r w:rsidRPr="000B2D2E">
        <w:rPr>
          <w:rFonts w:ascii="Arial" w:hAnsi="Arial" w:cs="Arial"/>
          <w:sz w:val="24"/>
          <w:szCs w:val="24"/>
        </w:rPr>
        <w:t xml:space="preserve">Online]: </w:t>
      </w:r>
      <w:r w:rsidRPr="000B2D2E">
        <w:rPr>
          <w:rFonts w:ascii="Arial" w:hAnsi="Arial" w:cs="Arial"/>
          <w:sz w:val="24"/>
          <w:szCs w:val="24"/>
          <w:u w:val="single"/>
        </w:rPr>
        <w:t>(http://www.cnf.gob.mx:8090/snif/especies_forestales/detalles.php?tipo_especie=7</w:t>
      </w:r>
    </w:p>
    <w:p w:rsidR="006C16D3" w:rsidRPr="000B2D2E" w:rsidRDefault="006C16D3" w:rsidP="00F2237E">
      <w:pPr>
        <w:widowControl w:val="0"/>
        <w:numPr>
          <w:ilvl w:val="0"/>
          <w:numId w:val="1"/>
        </w:numPr>
        <w:spacing w:after="200" w:line="276" w:lineRule="auto"/>
        <w:ind w:hanging="360"/>
        <w:contextualSpacing/>
        <w:jc w:val="both"/>
        <w:rPr>
          <w:rFonts w:ascii="Arial" w:hAnsi="Arial" w:cs="Arial"/>
          <w:sz w:val="24"/>
          <w:szCs w:val="24"/>
        </w:rPr>
      </w:pPr>
      <w:r w:rsidRPr="000B2D2E">
        <w:rPr>
          <w:rFonts w:ascii="Arial" w:hAnsi="Arial" w:cs="Arial"/>
          <w:sz w:val="24"/>
          <w:szCs w:val="24"/>
        </w:rPr>
        <w:t>Cristobal CL.</w:t>
      </w:r>
      <w:r>
        <w:rPr>
          <w:rFonts w:ascii="Arial" w:hAnsi="Arial" w:cs="Arial"/>
          <w:sz w:val="24"/>
          <w:szCs w:val="24"/>
        </w:rPr>
        <w:t xml:space="preserve"> (1989) </w:t>
      </w:r>
      <w:r w:rsidRPr="000B2D2E">
        <w:rPr>
          <w:rFonts w:ascii="Arial" w:hAnsi="Arial" w:cs="Arial"/>
          <w:sz w:val="24"/>
          <w:szCs w:val="24"/>
        </w:rPr>
        <w:t>Comentarios acerca de Guazuma ulmifol</w:t>
      </w:r>
      <w:r>
        <w:rPr>
          <w:rFonts w:ascii="Arial" w:hAnsi="Arial" w:cs="Arial"/>
          <w:sz w:val="24"/>
          <w:szCs w:val="24"/>
        </w:rPr>
        <w:t>ia (Sterculiaceae). Bonplandia</w:t>
      </w:r>
      <w:r w:rsidRPr="000B2D2E">
        <w:rPr>
          <w:rFonts w:ascii="Arial" w:hAnsi="Arial" w:cs="Arial"/>
          <w:sz w:val="24"/>
          <w:szCs w:val="24"/>
        </w:rPr>
        <w:t>. Disponible en J</w:t>
      </w:r>
      <w:r w:rsidRPr="000B2D2E">
        <w:rPr>
          <w:rFonts w:ascii="Arial" w:hAnsi="Arial" w:cs="Arial"/>
          <w:sz w:val="24"/>
          <w:szCs w:val="24"/>
        </w:rPr>
        <w:tab/>
        <w:t xml:space="preserve">STOR, </w:t>
      </w:r>
      <w:r w:rsidRPr="000B2D2E">
        <w:rPr>
          <w:rFonts w:ascii="Arial" w:hAnsi="Arial" w:cs="Arial"/>
          <w:sz w:val="24"/>
          <w:szCs w:val="24"/>
          <w:u w:val="single"/>
        </w:rPr>
        <w:t>www.jstor.org/stable/43574297.</w:t>
      </w:r>
    </w:p>
    <w:p w:rsidR="006C16D3" w:rsidRPr="000B2D2E" w:rsidRDefault="006C16D3" w:rsidP="00F2237E">
      <w:pPr>
        <w:widowControl w:val="0"/>
        <w:numPr>
          <w:ilvl w:val="0"/>
          <w:numId w:val="1"/>
        </w:numPr>
        <w:spacing w:after="0" w:line="276" w:lineRule="auto"/>
        <w:ind w:hanging="360"/>
        <w:contextualSpacing/>
        <w:jc w:val="both"/>
        <w:rPr>
          <w:rFonts w:ascii="Arial" w:hAnsi="Arial" w:cs="Arial"/>
          <w:sz w:val="24"/>
          <w:szCs w:val="24"/>
          <w:u w:val="single"/>
          <w:lang w:val="en-US"/>
        </w:rPr>
      </w:pPr>
      <w:r>
        <w:rPr>
          <w:rFonts w:ascii="Arial" w:hAnsi="Arial" w:cs="Arial"/>
          <w:sz w:val="24"/>
          <w:szCs w:val="24"/>
        </w:rPr>
        <w:t xml:space="preserve">Guazuma ulmifolia Lam. (1789) </w:t>
      </w:r>
      <w:r w:rsidRPr="000B2D2E">
        <w:rPr>
          <w:rFonts w:ascii="Arial" w:hAnsi="Arial" w:cs="Arial"/>
          <w:sz w:val="24"/>
          <w:szCs w:val="24"/>
        </w:rPr>
        <w:t xml:space="preserve">Publicado en: Encyclopédie Méthodique, Botanique 3: 52. </w:t>
      </w:r>
      <w:r w:rsidRPr="000B2D2E">
        <w:rPr>
          <w:rFonts w:ascii="Arial" w:hAnsi="Arial" w:cs="Arial"/>
          <w:sz w:val="24"/>
          <w:szCs w:val="24"/>
          <w:lang w:val="en-US"/>
        </w:rPr>
        <w:t xml:space="preserve">Link: </w:t>
      </w:r>
      <w:hyperlink r:id="rId17">
        <w:r w:rsidRPr="000B2D2E">
          <w:rPr>
            <w:rFonts w:ascii="Arial" w:hAnsi="Arial" w:cs="Arial"/>
            <w:sz w:val="24"/>
            <w:szCs w:val="24"/>
            <w:u w:val="single"/>
            <w:lang w:val="en-US"/>
          </w:rPr>
          <w:t>http://www.conabio.gob.mx/conocimiento/info_especies/arboles/doctos/66-sterc1m.pdf</w:t>
        </w:r>
      </w:hyperlink>
    </w:p>
    <w:p w:rsidR="006C16D3" w:rsidRPr="003607BF" w:rsidRDefault="006C16D3" w:rsidP="003607BF">
      <w:pPr>
        <w:widowControl w:val="0"/>
        <w:numPr>
          <w:ilvl w:val="0"/>
          <w:numId w:val="1"/>
        </w:numPr>
        <w:spacing w:after="200" w:line="276" w:lineRule="auto"/>
        <w:ind w:hanging="360"/>
        <w:contextualSpacing/>
        <w:jc w:val="both"/>
        <w:rPr>
          <w:rFonts w:ascii="Arial" w:hAnsi="Arial" w:cs="Arial"/>
          <w:sz w:val="24"/>
          <w:szCs w:val="24"/>
          <w:lang w:val="en-US"/>
        </w:rPr>
      </w:pPr>
      <w:r w:rsidRPr="000B2D2E">
        <w:rPr>
          <w:rFonts w:ascii="Arial" w:hAnsi="Arial" w:cs="Arial"/>
          <w:sz w:val="24"/>
          <w:szCs w:val="24"/>
        </w:rPr>
        <w:t xml:space="preserve">Monografía Guazuma ulmifolia Lam. (2009) Publicado en: Biblioteca Digital de la Medicina Tradicional Mexicana de la Universidad Nacional Autónoma de México. </w:t>
      </w:r>
      <w:r w:rsidRPr="000B2D2E">
        <w:rPr>
          <w:rFonts w:ascii="Arial" w:hAnsi="Arial" w:cs="Arial"/>
          <w:sz w:val="24"/>
          <w:szCs w:val="24"/>
          <w:lang w:val="en-US"/>
        </w:rPr>
        <w:t xml:space="preserve">Link:  </w:t>
      </w:r>
      <w:r w:rsidRPr="003607BF">
        <w:rPr>
          <w:rFonts w:ascii="Arial" w:hAnsi="Arial" w:cs="Arial"/>
          <w:sz w:val="24"/>
          <w:szCs w:val="24"/>
          <w:u w:val="single"/>
          <w:lang w:val="en-US"/>
        </w:rPr>
        <w:t>http://www.medicinatradicionalmexicana.unam.mx/monografia.php?l=3&amp;t=Guazuma_ulmifolia&amp;id=7657</w:t>
      </w:r>
    </w:p>
    <w:p w:rsidR="006C16D3" w:rsidRPr="000B2D2E" w:rsidRDefault="006C16D3" w:rsidP="00F2237E">
      <w:pPr>
        <w:widowControl w:val="0"/>
        <w:numPr>
          <w:ilvl w:val="0"/>
          <w:numId w:val="1"/>
        </w:numPr>
        <w:spacing w:after="0" w:line="276" w:lineRule="auto"/>
        <w:ind w:hanging="360"/>
        <w:contextualSpacing/>
        <w:jc w:val="both"/>
        <w:rPr>
          <w:rFonts w:ascii="Arial" w:hAnsi="Arial" w:cs="Arial"/>
          <w:sz w:val="24"/>
          <w:szCs w:val="24"/>
        </w:rPr>
      </w:pPr>
      <w:r w:rsidRPr="005F37B6">
        <w:rPr>
          <w:rFonts w:ascii="Arial" w:hAnsi="Arial" w:cs="Arial"/>
          <w:sz w:val="24"/>
          <w:szCs w:val="24"/>
          <w:lang w:val="en-US"/>
        </w:rPr>
        <w:t>Alarcon-Aguilara, Roman-Ramos. et al.</w:t>
      </w:r>
      <w:r w:rsidRPr="00FE24BF">
        <w:rPr>
          <w:rFonts w:ascii="Arial" w:hAnsi="Arial" w:cs="Arial"/>
          <w:sz w:val="24"/>
          <w:szCs w:val="24"/>
          <w:lang w:val="en-GB"/>
        </w:rPr>
        <w:t xml:space="preserve">(1998) </w:t>
      </w:r>
      <w:r w:rsidRPr="000B2D2E">
        <w:rPr>
          <w:rFonts w:ascii="Arial" w:hAnsi="Arial" w:cs="Arial"/>
          <w:sz w:val="24"/>
          <w:szCs w:val="24"/>
          <w:lang w:val="en-US"/>
        </w:rPr>
        <w:t xml:space="preserve">Study pf the anti-hyperglycemic effect of plants used as antidiabetics. </w:t>
      </w:r>
      <w:r>
        <w:rPr>
          <w:rFonts w:ascii="Arial" w:hAnsi="Arial" w:cs="Arial"/>
          <w:sz w:val="24"/>
          <w:szCs w:val="24"/>
        </w:rPr>
        <w:t>Journal of ethno-pharmacology</w:t>
      </w:r>
      <w:r w:rsidRPr="000B2D2E">
        <w:rPr>
          <w:rFonts w:ascii="Arial" w:hAnsi="Arial" w:cs="Arial"/>
          <w:sz w:val="24"/>
          <w:szCs w:val="24"/>
        </w:rPr>
        <w:t>.</w:t>
      </w:r>
    </w:p>
    <w:p w:rsidR="006C16D3" w:rsidRPr="00DB3780" w:rsidRDefault="006C16D3" w:rsidP="00F2237E">
      <w:pPr>
        <w:widowControl w:val="0"/>
        <w:numPr>
          <w:ilvl w:val="0"/>
          <w:numId w:val="1"/>
        </w:numPr>
        <w:spacing w:after="0" w:line="276" w:lineRule="auto"/>
        <w:ind w:hanging="360"/>
        <w:contextualSpacing/>
        <w:jc w:val="both"/>
        <w:rPr>
          <w:rFonts w:ascii="Arial" w:hAnsi="Arial" w:cs="Arial"/>
          <w:sz w:val="24"/>
          <w:szCs w:val="24"/>
          <w:lang w:val="es-ES_tradnl"/>
        </w:rPr>
      </w:pPr>
      <w:r w:rsidRPr="00FE24BF">
        <w:rPr>
          <w:rFonts w:ascii="Arial" w:hAnsi="Arial" w:cs="Arial"/>
          <w:sz w:val="24"/>
          <w:szCs w:val="24"/>
          <w:lang w:val="en-GB"/>
        </w:rPr>
        <w:t xml:space="preserve">Adnyana IK, Yulinah E, Yuliet, Kurniati NF (2013) </w:t>
      </w:r>
      <w:r w:rsidRPr="00DB3780">
        <w:rPr>
          <w:rFonts w:ascii="Arial" w:hAnsi="Arial" w:cs="Arial"/>
          <w:sz w:val="24"/>
          <w:szCs w:val="24"/>
          <w:lang w:val="en-US"/>
        </w:rPr>
        <w:t xml:space="preserve">Antidiabetic activity of aqueous leaf extract of </w:t>
      </w:r>
      <w:r w:rsidRPr="00DB3780">
        <w:rPr>
          <w:rFonts w:ascii="Arial" w:hAnsi="Arial" w:cs="Arial"/>
          <w:i/>
          <w:sz w:val="24"/>
          <w:szCs w:val="24"/>
          <w:lang w:val="en-US"/>
        </w:rPr>
        <w:t xml:space="preserve">Guazuma ulmifolia </w:t>
      </w:r>
      <w:r w:rsidRPr="00DB3780">
        <w:rPr>
          <w:rFonts w:ascii="Arial" w:hAnsi="Arial" w:cs="Arial"/>
          <w:sz w:val="24"/>
          <w:szCs w:val="24"/>
          <w:lang w:val="en-US"/>
        </w:rPr>
        <w:t xml:space="preserve">Lam., ethanolic extract of </w:t>
      </w:r>
      <w:r w:rsidRPr="00DB3780">
        <w:rPr>
          <w:rFonts w:ascii="Arial" w:hAnsi="Arial" w:cs="Arial"/>
          <w:i/>
          <w:sz w:val="24"/>
          <w:szCs w:val="24"/>
          <w:lang w:val="en-US"/>
        </w:rPr>
        <w:t xml:space="preserve">Curcuma xanthorriza </w:t>
      </w:r>
      <w:r w:rsidRPr="00DB3780">
        <w:rPr>
          <w:rFonts w:ascii="Arial" w:hAnsi="Arial" w:cs="Arial"/>
          <w:sz w:val="24"/>
          <w:szCs w:val="24"/>
          <w:lang w:val="en-US"/>
        </w:rPr>
        <w:t xml:space="preserve">and their combinations in alloxan-induced diabetic mice. </w:t>
      </w:r>
      <w:r>
        <w:rPr>
          <w:rFonts w:ascii="Arial" w:hAnsi="Arial" w:cs="Arial"/>
          <w:sz w:val="24"/>
          <w:szCs w:val="24"/>
        </w:rPr>
        <w:t>World Res J Med Aromat Plants</w:t>
      </w:r>
      <w:r w:rsidRPr="00DB3780">
        <w:rPr>
          <w:rFonts w:ascii="Arial" w:hAnsi="Arial" w:cs="Arial"/>
          <w:sz w:val="24"/>
          <w:szCs w:val="24"/>
        </w:rPr>
        <w:t xml:space="preserve">. </w:t>
      </w:r>
    </w:p>
    <w:p w:rsidR="006C16D3" w:rsidRPr="007D16A4" w:rsidRDefault="006C16D3" w:rsidP="00F2237E">
      <w:pPr>
        <w:widowControl w:val="0"/>
        <w:numPr>
          <w:ilvl w:val="0"/>
          <w:numId w:val="1"/>
        </w:numPr>
        <w:spacing w:after="0" w:line="276" w:lineRule="auto"/>
        <w:ind w:hanging="360"/>
        <w:contextualSpacing/>
        <w:jc w:val="both"/>
        <w:rPr>
          <w:rFonts w:ascii="Arial" w:hAnsi="Arial" w:cs="Arial"/>
          <w:sz w:val="24"/>
          <w:szCs w:val="24"/>
          <w:lang w:val="en-GB"/>
        </w:rPr>
      </w:pPr>
      <w:r w:rsidRPr="00DB3780">
        <w:rPr>
          <w:rFonts w:ascii="Arial" w:hAnsi="Arial" w:cs="Arial"/>
          <w:sz w:val="24"/>
          <w:szCs w:val="24"/>
          <w:lang w:val="en-US"/>
        </w:rPr>
        <w:t>OECD Test Guideline 423 : Acute Oral Toxicity – Acute Toxic Class Method Link:</w:t>
      </w:r>
      <w:hyperlink r:id="rId18">
        <w:r w:rsidRPr="00DB3780">
          <w:rPr>
            <w:rFonts w:ascii="Arial" w:hAnsi="Arial" w:cs="Arial"/>
            <w:sz w:val="24"/>
            <w:szCs w:val="24"/>
            <w:u w:val="single"/>
            <w:lang w:val="en-US"/>
          </w:rPr>
          <w:t>https://ntp.niehs.nih.gov/iccvam/suppdocs/feddocs/oecd/oecd_gl423.pdf</w:t>
        </w:r>
      </w:hyperlink>
    </w:p>
    <w:p w:rsidR="006C16D3" w:rsidRPr="007D16A4" w:rsidRDefault="006C16D3" w:rsidP="00F2237E">
      <w:pPr>
        <w:widowControl w:val="0"/>
        <w:numPr>
          <w:ilvl w:val="0"/>
          <w:numId w:val="1"/>
        </w:numPr>
        <w:spacing w:after="0" w:line="276" w:lineRule="auto"/>
        <w:ind w:hanging="360"/>
        <w:contextualSpacing/>
        <w:jc w:val="both"/>
        <w:rPr>
          <w:rFonts w:ascii="Arial" w:hAnsi="Arial" w:cs="Arial"/>
          <w:sz w:val="24"/>
          <w:szCs w:val="24"/>
          <w:lang w:val="es-ES"/>
        </w:rPr>
      </w:pPr>
      <w:r w:rsidRPr="007D16A4">
        <w:rPr>
          <w:rFonts w:ascii="Arial" w:hAnsi="Arial" w:cs="Arial"/>
          <w:sz w:val="24"/>
          <w:szCs w:val="24"/>
          <w:lang w:val="es-ES"/>
        </w:rPr>
        <w:t>Farmacopea Herbolaria de los Estados Unidos Mexicanos</w:t>
      </w:r>
      <w:r>
        <w:rPr>
          <w:rFonts w:ascii="Arial" w:hAnsi="Arial" w:cs="Arial"/>
          <w:sz w:val="24"/>
          <w:szCs w:val="24"/>
          <w:lang w:val="es-ES"/>
        </w:rPr>
        <w:t xml:space="preserve"> (2013) 2da ed. </w:t>
      </w:r>
      <w:r>
        <w:rPr>
          <w:rFonts w:ascii="Arial" w:hAnsi="Arial" w:cs="Arial"/>
          <w:sz w:val="24"/>
          <w:szCs w:val="24"/>
          <w:lang w:val="es-ES"/>
        </w:rPr>
        <w:lastRenderedPageBreak/>
        <w:t>Secretaria de Salud. Comisión Permanente de la Farmacopea de los Estados Unidos Mexicanos. México.</w:t>
      </w:r>
    </w:p>
    <w:p w:rsidR="006C16D3" w:rsidRPr="007D16A4" w:rsidRDefault="006C16D3" w:rsidP="00DB3780">
      <w:pPr>
        <w:spacing w:line="276" w:lineRule="auto"/>
        <w:jc w:val="both"/>
        <w:rPr>
          <w:rFonts w:ascii="Arial" w:hAnsi="Arial" w:cs="Arial"/>
          <w:sz w:val="24"/>
          <w:szCs w:val="24"/>
          <w:vertAlign w:val="superscript"/>
          <w:lang w:val="es-ES"/>
        </w:rPr>
      </w:pPr>
    </w:p>
    <w:p w:rsidR="006C16D3" w:rsidRPr="007D16A4" w:rsidRDefault="006C16D3" w:rsidP="00DB3780">
      <w:pPr>
        <w:spacing w:line="276" w:lineRule="auto"/>
        <w:jc w:val="both"/>
        <w:rPr>
          <w:rFonts w:ascii="Arial" w:hAnsi="Arial" w:cs="Arial"/>
          <w:sz w:val="24"/>
          <w:szCs w:val="24"/>
          <w:lang w:val="es-ES"/>
        </w:rPr>
      </w:pPr>
    </w:p>
    <w:p w:rsidR="00B25938" w:rsidRDefault="00B25938" w:rsidP="002D721C">
      <w:pPr>
        <w:jc w:val="both"/>
        <w:rPr>
          <w:rFonts w:ascii="Arial" w:hAnsi="Arial" w:cs="Arial"/>
          <w:sz w:val="24"/>
          <w:szCs w:val="24"/>
          <w:lang w:val="es-ES"/>
        </w:rPr>
      </w:pPr>
      <w:bookmarkStart w:id="0" w:name="_GoBack"/>
      <w:bookmarkEnd w:id="0"/>
    </w:p>
    <w:p w:rsidR="00B25938" w:rsidRDefault="00B25938" w:rsidP="002D721C">
      <w:pPr>
        <w:jc w:val="both"/>
        <w:rPr>
          <w:rFonts w:ascii="Arial" w:hAnsi="Arial" w:cs="Arial"/>
          <w:sz w:val="24"/>
          <w:szCs w:val="24"/>
          <w:lang w:val="es-ES"/>
        </w:rPr>
      </w:pPr>
    </w:p>
    <w:p w:rsidR="006C16D3" w:rsidRPr="007D16A4" w:rsidRDefault="006C16D3" w:rsidP="002D721C">
      <w:pPr>
        <w:jc w:val="both"/>
        <w:rPr>
          <w:rFonts w:ascii="Arial" w:hAnsi="Arial" w:cs="Arial"/>
          <w:sz w:val="24"/>
          <w:szCs w:val="24"/>
          <w:lang w:val="es-ES"/>
        </w:rPr>
      </w:pPr>
    </w:p>
    <w:sectPr w:rsidR="006C16D3" w:rsidRPr="007D16A4" w:rsidSect="007F24CD">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32B" w:rsidRDefault="0072532B" w:rsidP="002D721C">
      <w:pPr>
        <w:spacing w:after="0" w:line="240" w:lineRule="auto"/>
      </w:pPr>
      <w:r>
        <w:separator/>
      </w:r>
    </w:p>
  </w:endnote>
  <w:endnote w:type="continuationSeparator" w:id="1">
    <w:p w:rsidR="0072532B" w:rsidRDefault="0072532B" w:rsidP="002D7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32B" w:rsidRDefault="0072532B" w:rsidP="002D721C">
      <w:pPr>
        <w:spacing w:after="0" w:line="240" w:lineRule="auto"/>
      </w:pPr>
      <w:r>
        <w:separator/>
      </w:r>
    </w:p>
  </w:footnote>
  <w:footnote w:type="continuationSeparator" w:id="1">
    <w:p w:rsidR="0072532B" w:rsidRDefault="0072532B" w:rsidP="002D72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24C7F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C4209B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D6882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F8CD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7CE5B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8445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5B03D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605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B204A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C428FB0"/>
    <w:lvl w:ilvl="0">
      <w:start w:val="1"/>
      <w:numFmt w:val="bullet"/>
      <w:lvlText w:val=""/>
      <w:lvlJc w:val="left"/>
      <w:pPr>
        <w:tabs>
          <w:tab w:val="num" w:pos="360"/>
        </w:tabs>
        <w:ind w:left="360" w:hanging="360"/>
      </w:pPr>
      <w:rPr>
        <w:rFonts w:ascii="Symbol" w:hAnsi="Symbol" w:hint="default"/>
      </w:rPr>
    </w:lvl>
  </w:abstractNum>
  <w:abstractNum w:abstractNumId="10">
    <w:nsid w:val="1C657888"/>
    <w:multiLevelType w:val="hybridMultilevel"/>
    <w:tmpl w:val="8B76CF92"/>
    <w:lvl w:ilvl="0" w:tplc="EE0E2EA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8C40026"/>
    <w:multiLevelType w:val="multilevel"/>
    <w:tmpl w:val="DF648800"/>
    <w:lvl w:ilvl="0">
      <w:start w:val="1"/>
      <w:numFmt w:val="decimal"/>
      <w:lvlText w:val="%1."/>
      <w:lvlJc w:val="left"/>
      <w:pPr>
        <w:ind w:left="720" w:firstLine="360"/>
      </w:pPr>
      <w:rPr>
        <w:rFonts w:cs="Times New Roman"/>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721C"/>
    <w:rsid w:val="000052C4"/>
    <w:rsid w:val="000410F3"/>
    <w:rsid w:val="00055F5C"/>
    <w:rsid w:val="00057AAE"/>
    <w:rsid w:val="000B2D2E"/>
    <w:rsid w:val="00154F8F"/>
    <w:rsid w:val="001642C0"/>
    <w:rsid w:val="001A4331"/>
    <w:rsid w:val="001D1243"/>
    <w:rsid w:val="002206DC"/>
    <w:rsid w:val="002561B2"/>
    <w:rsid w:val="002D721C"/>
    <w:rsid w:val="002E6D0A"/>
    <w:rsid w:val="0032519C"/>
    <w:rsid w:val="00356133"/>
    <w:rsid w:val="003607BF"/>
    <w:rsid w:val="00370EC2"/>
    <w:rsid w:val="00382A52"/>
    <w:rsid w:val="00396623"/>
    <w:rsid w:val="003A2A54"/>
    <w:rsid w:val="003F35AF"/>
    <w:rsid w:val="00407B81"/>
    <w:rsid w:val="00427136"/>
    <w:rsid w:val="004360C8"/>
    <w:rsid w:val="00485035"/>
    <w:rsid w:val="004A5DF4"/>
    <w:rsid w:val="004F326D"/>
    <w:rsid w:val="00506EFA"/>
    <w:rsid w:val="00517BDD"/>
    <w:rsid w:val="005458AE"/>
    <w:rsid w:val="005D7349"/>
    <w:rsid w:val="005E0692"/>
    <w:rsid w:val="005F37B6"/>
    <w:rsid w:val="00671618"/>
    <w:rsid w:val="0067475A"/>
    <w:rsid w:val="00681BE9"/>
    <w:rsid w:val="00690212"/>
    <w:rsid w:val="006C16D3"/>
    <w:rsid w:val="006F07EE"/>
    <w:rsid w:val="006F6A95"/>
    <w:rsid w:val="0072532B"/>
    <w:rsid w:val="007308E0"/>
    <w:rsid w:val="007705E9"/>
    <w:rsid w:val="007A6113"/>
    <w:rsid w:val="007D16A4"/>
    <w:rsid w:val="007D3052"/>
    <w:rsid w:val="007F24CD"/>
    <w:rsid w:val="00802578"/>
    <w:rsid w:val="00806B4C"/>
    <w:rsid w:val="008A0A50"/>
    <w:rsid w:val="008B5A28"/>
    <w:rsid w:val="009271A6"/>
    <w:rsid w:val="0095043D"/>
    <w:rsid w:val="00977FC8"/>
    <w:rsid w:val="009802BE"/>
    <w:rsid w:val="009C5853"/>
    <w:rsid w:val="009D1921"/>
    <w:rsid w:val="00A91CC9"/>
    <w:rsid w:val="00B25938"/>
    <w:rsid w:val="00B5060D"/>
    <w:rsid w:val="00B76C4F"/>
    <w:rsid w:val="00B951C3"/>
    <w:rsid w:val="00BF1FDE"/>
    <w:rsid w:val="00C05DF4"/>
    <w:rsid w:val="00C1457F"/>
    <w:rsid w:val="00C27EB8"/>
    <w:rsid w:val="00C31912"/>
    <w:rsid w:val="00C4095C"/>
    <w:rsid w:val="00CF2BBD"/>
    <w:rsid w:val="00D4429E"/>
    <w:rsid w:val="00D630F7"/>
    <w:rsid w:val="00D6618B"/>
    <w:rsid w:val="00D70148"/>
    <w:rsid w:val="00DA367D"/>
    <w:rsid w:val="00DB3780"/>
    <w:rsid w:val="00DE2206"/>
    <w:rsid w:val="00E30742"/>
    <w:rsid w:val="00E63D2A"/>
    <w:rsid w:val="00EB2CE7"/>
    <w:rsid w:val="00ED4060"/>
    <w:rsid w:val="00EF0716"/>
    <w:rsid w:val="00F2237E"/>
    <w:rsid w:val="00F84E5F"/>
    <w:rsid w:val="00FB47BA"/>
    <w:rsid w:val="00FE24BF"/>
    <w:rsid w:val="00FF24D4"/>
    <w:rsid w:val="00FF66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21C"/>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2D721C"/>
    <w:rPr>
      <w:rFonts w:cs="Times New Roman"/>
      <w:color w:val="808080"/>
    </w:rPr>
  </w:style>
  <w:style w:type="character" w:styleId="Hipervnculo">
    <w:name w:val="Hyperlink"/>
    <w:uiPriority w:val="99"/>
    <w:rsid w:val="003607BF"/>
    <w:rPr>
      <w:rFonts w:cs="Times New Roman"/>
      <w:color w:val="0563C1"/>
      <w:u w:val="single"/>
    </w:rPr>
  </w:style>
  <w:style w:type="paragraph" w:styleId="Textodeglobo">
    <w:name w:val="Balloon Text"/>
    <w:basedOn w:val="Normal"/>
    <w:link w:val="TextodegloboCar"/>
    <w:uiPriority w:val="99"/>
    <w:semiHidden/>
    <w:unhideWhenUsed/>
    <w:rsid w:val="005F37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7B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tp.niehs.nih.gov/iccvam/suppdocs/feddocs/oecd/oecd_gl42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nabio.gob.mx/conocimiento/info_especies/arboles/doctos/66-sterc1m.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file>

<file path=customXml/itemProps1.xml><?xml version="1.0" encoding="utf-8"?>
<ds:datastoreItem xmlns:ds="http://schemas.openxmlformats.org/officeDocument/2006/customXml" ds:itemID="{BA54ED24-5ED1-4475-AB4B-5A79A1D9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8</Pages>
  <Words>1606</Words>
  <Characters>9156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HP</cp:lastModifiedBy>
  <cp:revision>43</cp:revision>
  <dcterms:created xsi:type="dcterms:W3CDTF">2017-08-28T04:38:00Z</dcterms:created>
  <dcterms:modified xsi:type="dcterms:W3CDTF">2017-09-01T04:35:00Z</dcterms:modified>
</cp:coreProperties>
</file>