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D9C9" w14:textId="6F7C1B0B" w:rsidR="000C2900" w:rsidRPr="00EF0B61" w:rsidRDefault="000C2900" w:rsidP="00BC56BF">
      <w:pPr>
        <w:spacing w:line="360" w:lineRule="auto"/>
        <w:jc w:val="center"/>
        <w:rPr>
          <w:rFonts w:ascii="Arial" w:hAnsi="Arial" w:cs="Arial"/>
          <w:b/>
          <w:sz w:val="24"/>
          <w:szCs w:val="24"/>
        </w:rPr>
      </w:pPr>
      <w:r w:rsidRPr="00EF0B61">
        <w:rPr>
          <w:rFonts w:ascii="Arial" w:hAnsi="Arial" w:cs="Arial"/>
          <w:b/>
          <w:sz w:val="24"/>
          <w:szCs w:val="24"/>
        </w:rPr>
        <w:t>Determinación</w:t>
      </w:r>
      <w:bookmarkStart w:id="0" w:name="_GoBack"/>
      <w:bookmarkEnd w:id="0"/>
      <w:r w:rsidRPr="00EF0B61">
        <w:rPr>
          <w:rFonts w:ascii="Arial" w:hAnsi="Arial" w:cs="Arial"/>
          <w:b/>
          <w:sz w:val="24"/>
          <w:szCs w:val="24"/>
        </w:rPr>
        <w:t xml:space="preserve"> de fumonisinas en maíz de consumo humano y forrajero expedido en la ciudad de Tepic.</w:t>
      </w:r>
    </w:p>
    <w:p w14:paraId="07265BBA" w14:textId="27A136B9" w:rsidR="00C47BCC" w:rsidRPr="00EF0B61" w:rsidRDefault="00C47BCC" w:rsidP="000704BC">
      <w:pPr>
        <w:spacing w:line="360" w:lineRule="auto"/>
        <w:jc w:val="center"/>
        <w:rPr>
          <w:rFonts w:ascii="Arial" w:hAnsi="Arial" w:cs="Arial"/>
          <w:b/>
          <w:sz w:val="24"/>
          <w:szCs w:val="24"/>
        </w:rPr>
      </w:pPr>
      <w:r w:rsidRPr="00EF0B61">
        <w:rPr>
          <w:rFonts w:ascii="Arial" w:hAnsi="Arial" w:cs="Arial"/>
          <w:sz w:val="24"/>
          <w:szCs w:val="24"/>
        </w:rPr>
        <w:t xml:space="preserve">Autor </w:t>
      </w:r>
      <w:r w:rsidR="005E3869" w:rsidRPr="00EF0B61">
        <w:rPr>
          <w:rFonts w:ascii="Arial" w:hAnsi="Arial" w:cs="Arial"/>
          <w:sz w:val="24"/>
          <w:szCs w:val="24"/>
        </w:rPr>
        <w:t>principal: Robledo</w:t>
      </w:r>
      <w:r w:rsidRPr="00EF0B61">
        <w:rPr>
          <w:rFonts w:ascii="Arial" w:hAnsi="Arial" w:cs="Arial"/>
          <w:sz w:val="24"/>
          <w:szCs w:val="24"/>
        </w:rPr>
        <w:t xml:space="preserve"> Gutiérrez Reyna Guadalupe</w:t>
      </w:r>
      <w:r w:rsidR="00E86FDB" w:rsidRPr="00E86FDB">
        <w:rPr>
          <w:rFonts w:ascii="Arial" w:hAnsi="Arial" w:cs="Arial"/>
          <w:sz w:val="24"/>
          <w:szCs w:val="24"/>
          <w:vertAlign w:val="superscript"/>
        </w:rPr>
        <w:t>2</w:t>
      </w:r>
    </w:p>
    <w:p w14:paraId="53FAE815" w14:textId="1330AB0C" w:rsidR="00CD6747" w:rsidRDefault="005E3869" w:rsidP="000704BC">
      <w:pPr>
        <w:spacing w:line="360" w:lineRule="auto"/>
        <w:jc w:val="center"/>
        <w:rPr>
          <w:rFonts w:ascii="Arial" w:hAnsi="Arial" w:cs="Arial"/>
          <w:sz w:val="24"/>
          <w:szCs w:val="24"/>
        </w:rPr>
      </w:pPr>
      <w:r w:rsidRPr="00EF0B61">
        <w:rPr>
          <w:rFonts w:ascii="Arial" w:hAnsi="Arial" w:cs="Arial"/>
          <w:sz w:val="24"/>
          <w:szCs w:val="24"/>
        </w:rPr>
        <w:t>Coautores: Zambrano</w:t>
      </w:r>
      <w:r w:rsidR="000C2900" w:rsidRPr="00EF0B61">
        <w:rPr>
          <w:rFonts w:ascii="Arial" w:hAnsi="Arial" w:cs="Arial"/>
          <w:sz w:val="24"/>
          <w:szCs w:val="24"/>
        </w:rPr>
        <w:t xml:space="preserve"> Soria M</w:t>
      </w:r>
      <w:r w:rsidR="00E86FDB" w:rsidRPr="00E86FDB">
        <w:rPr>
          <w:rFonts w:ascii="Arial" w:hAnsi="Arial" w:cs="Arial"/>
          <w:sz w:val="24"/>
          <w:szCs w:val="24"/>
          <w:vertAlign w:val="superscript"/>
        </w:rPr>
        <w:t>3</w:t>
      </w:r>
      <w:r w:rsidR="000C2900" w:rsidRPr="00EF0B61">
        <w:rPr>
          <w:rFonts w:ascii="Arial" w:hAnsi="Arial" w:cs="Arial"/>
          <w:sz w:val="24"/>
          <w:szCs w:val="24"/>
        </w:rPr>
        <w:t>;</w:t>
      </w:r>
      <w:r w:rsidR="007F04E1">
        <w:rPr>
          <w:rFonts w:ascii="Arial" w:hAnsi="Arial" w:cs="Arial"/>
          <w:sz w:val="24"/>
          <w:szCs w:val="24"/>
        </w:rPr>
        <w:t xml:space="preserve"> Carrillo Villalobos R</w:t>
      </w:r>
      <w:r w:rsidR="00E86FDB" w:rsidRPr="00E86FDB">
        <w:rPr>
          <w:rFonts w:ascii="Arial" w:hAnsi="Arial" w:cs="Arial"/>
          <w:sz w:val="24"/>
          <w:szCs w:val="24"/>
          <w:vertAlign w:val="superscript"/>
        </w:rPr>
        <w:t>2</w:t>
      </w:r>
      <w:r w:rsidR="007F04E1">
        <w:rPr>
          <w:rFonts w:ascii="Arial" w:hAnsi="Arial" w:cs="Arial"/>
          <w:sz w:val="24"/>
          <w:szCs w:val="24"/>
        </w:rPr>
        <w:t>;</w:t>
      </w:r>
      <w:r w:rsidR="000C2900" w:rsidRPr="00EF0B61">
        <w:rPr>
          <w:rFonts w:ascii="Arial" w:hAnsi="Arial" w:cs="Arial"/>
          <w:sz w:val="24"/>
          <w:szCs w:val="24"/>
        </w:rPr>
        <w:t xml:space="preserve"> Bueno Duran A</w:t>
      </w:r>
      <w:r w:rsidR="00E86FDB" w:rsidRPr="00E86FDB">
        <w:rPr>
          <w:rFonts w:ascii="Arial" w:hAnsi="Arial" w:cs="Arial"/>
          <w:sz w:val="24"/>
          <w:szCs w:val="24"/>
          <w:vertAlign w:val="superscript"/>
        </w:rPr>
        <w:t>2,3</w:t>
      </w:r>
      <w:r w:rsidR="000C2900" w:rsidRPr="00EF0B61">
        <w:rPr>
          <w:rFonts w:ascii="Arial" w:hAnsi="Arial" w:cs="Arial"/>
          <w:sz w:val="24"/>
          <w:szCs w:val="24"/>
        </w:rPr>
        <w:t>; Navidad Murrieta MS</w:t>
      </w:r>
      <w:r w:rsidR="00E86FDB" w:rsidRPr="00E86FDB">
        <w:rPr>
          <w:rFonts w:ascii="Arial" w:hAnsi="Arial" w:cs="Arial"/>
          <w:sz w:val="24"/>
          <w:szCs w:val="24"/>
          <w:vertAlign w:val="superscript"/>
        </w:rPr>
        <w:t>3</w:t>
      </w:r>
      <w:r w:rsidR="000C2900" w:rsidRPr="00EF0B61">
        <w:rPr>
          <w:rFonts w:ascii="Arial" w:hAnsi="Arial" w:cs="Arial"/>
          <w:sz w:val="24"/>
          <w:szCs w:val="24"/>
        </w:rPr>
        <w:t>; Ventura Ramón GH</w:t>
      </w:r>
      <w:r w:rsidR="00E86FDB" w:rsidRPr="00E86FDB">
        <w:rPr>
          <w:rFonts w:ascii="Arial" w:hAnsi="Arial" w:cs="Arial"/>
          <w:sz w:val="24"/>
          <w:szCs w:val="24"/>
          <w:vertAlign w:val="superscript"/>
        </w:rPr>
        <w:t>2,3</w:t>
      </w:r>
      <w:r w:rsidR="000C2900" w:rsidRPr="00EF0B61">
        <w:rPr>
          <w:rFonts w:ascii="Arial" w:hAnsi="Arial" w:cs="Arial"/>
          <w:sz w:val="24"/>
          <w:szCs w:val="24"/>
        </w:rPr>
        <w:t>; Toledo Ibarra GA</w:t>
      </w:r>
      <w:r w:rsidR="00E86FDB" w:rsidRPr="00E86FDB">
        <w:rPr>
          <w:rFonts w:ascii="Arial" w:hAnsi="Arial" w:cs="Arial"/>
          <w:sz w:val="24"/>
          <w:szCs w:val="24"/>
          <w:vertAlign w:val="superscript"/>
        </w:rPr>
        <w:t>1,3</w:t>
      </w:r>
      <w:r w:rsidR="00E86FDB">
        <w:rPr>
          <w:rFonts w:ascii="Arial" w:hAnsi="Arial" w:cs="Arial"/>
          <w:sz w:val="24"/>
          <w:szCs w:val="24"/>
        </w:rPr>
        <w:t>,</w:t>
      </w:r>
      <w:r w:rsidR="000C2900" w:rsidRPr="00EF0B61">
        <w:rPr>
          <w:rFonts w:ascii="Arial" w:hAnsi="Arial" w:cs="Arial"/>
          <w:sz w:val="24"/>
          <w:szCs w:val="24"/>
        </w:rPr>
        <w:t xml:space="preserve"> Barcelos García RG</w:t>
      </w:r>
      <w:r w:rsidR="00E86FDB" w:rsidRPr="00E86FDB">
        <w:rPr>
          <w:rFonts w:ascii="Arial" w:hAnsi="Arial" w:cs="Arial"/>
          <w:sz w:val="24"/>
          <w:szCs w:val="24"/>
          <w:vertAlign w:val="superscript"/>
        </w:rPr>
        <w:t>3</w:t>
      </w:r>
      <w:r w:rsidR="00E86FDB">
        <w:rPr>
          <w:rFonts w:ascii="Arial" w:hAnsi="Arial" w:cs="Arial"/>
          <w:sz w:val="24"/>
          <w:szCs w:val="24"/>
        </w:rPr>
        <w:t>,</w:t>
      </w:r>
      <w:r w:rsidR="007F04E1">
        <w:rPr>
          <w:rFonts w:ascii="Arial" w:hAnsi="Arial" w:cs="Arial"/>
          <w:sz w:val="24"/>
          <w:szCs w:val="24"/>
        </w:rPr>
        <w:t xml:space="preserve"> </w:t>
      </w:r>
      <w:r w:rsidR="00E86FDB" w:rsidRPr="00EF0B61">
        <w:rPr>
          <w:rFonts w:ascii="Arial" w:hAnsi="Arial" w:cs="Arial"/>
          <w:sz w:val="24"/>
          <w:szCs w:val="24"/>
        </w:rPr>
        <w:t>Girón Pérez MI</w:t>
      </w:r>
      <w:r w:rsidR="00E86FDB" w:rsidRPr="00E86FDB">
        <w:rPr>
          <w:rFonts w:ascii="Arial" w:hAnsi="Arial" w:cs="Arial"/>
          <w:sz w:val="24"/>
          <w:szCs w:val="24"/>
          <w:vertAlign w:val="superscript"/>
        </w:rPr>
        <w:t>1,3</w:t>
      </w:r>
      <w:r w:rsidR="00E86FDB">
        <w:rPr>
          <w:rFonts w:ascii="Arial" w:hAnsi="Arial" w:cs="Arial"/>
          <w:sz w:val="24"/>
          <w:szCs w:val="24"/>
        </w:rPr>
        <w:t>.</w:t>
      </w:r>
    </w:p>
    <w:p w14:paraId="252B3E2B" w14:textId="77777777" w:rsidR="00E86FDB" w:rsidRPr="005D5313" w:rsidRDefault="00E86FDB" w:rsidP="000704BC">
      <w:pPr>
        <w:spacing w:after="0" w:line="360" w:lineRule="auto"/>
        <w:jc w:val="center"/>
        <w:rPr>
          <w:rFonts w:ascii="Arial" w:hAnsi="Arial" w:cs="Arial"/>
          <w:sz w:val="24"/>
          <w:szCs w:val="24"/>
        </w:rPr>
      </w:pPr>
      <w:r w:rsidRPr="005D5313">
        <w:rPr>
          <w:rFonts w:ascii="Arial" w:hAnsi="Arial" w:cs="Arial"/>
          <w:sz w:val="24"/>
          <w:szCs w:val="24"/>
        </w:rPr>
        <w:t xml:space="preserve">Universidad Autónoma de Nayarit, </w:t>
      </w:r>
      <w:r w:rsidRPr="005F115E">
        <w:rPr>
          <w:rFonts w:ascii="Arial" w:hAnsi="Arial" w:cs="Arial"/>
          <w:sz w:val="24"/>
          <w:szCs w:val="24"/>
          <w:vertAlign w:val="superscript"/>
        </w:rPr>
        <w:t>1</w:t>
      </w:r>
      <w:r>
        <w:rPr>
          <w:rFonts w:ascii="Arial" w:hAnsi="Arial" w:cs="Arial"/>
          <w:sz w:val="24"/>
          <w:szCs w:val="24"/>
        </w:rPr>
        <w:t xml:space="preserve">Secreataría de Investigación y Posgrado, </w:t>
      </w:r>
      <w:r w:rsidRPr="005F115E">
        <w:rPr>
          <w:rFonts w:ascii="Arial" w:hAnsi="Arial" w:cs="Arial"/>
          <w:sz w:val="24"/>
          <w:szCs w:val="24"/>
        </w:rPr>
        <w:t>Laboratorio</w:t>
      </w:r>
      <w:r w:rsidRPr="005D5313">
        <w:rPr>
          <w:rFonts w:ascii="Arial" w:hAnsi="Arial" w:cs="Arial"/>
          <w:sz w:val="24"/>
          <w:szCs w:val="24"/>
        </w:rPr>
        <w:t xml:space="preserve"> de Inmunotoxicología. </w:t>
      </w:r>
      <w:r w:rsidRPr="005D5313">
        <w:rPr>
          <w:rFonts w:ascii="Arial" w:hAnsi="Arial" w:cs="Arial"/>
          <w:sz w:val="24"/>
          <w:szCs w:val="24"/>
          <w:vertAlign w:val="superscript"/>
        </w:rPr>
        <w:t>2</w:t>
      </w:r>
      <w:r w:rsidRPr="005D5313">
        <w:rPr>
          <w:rFonts w:ascii="Arial" w:hAnsi="Arial" w:cs="Arial"/>
          <w:sz w:val="24"/>
          <w:szCs w:val="24"/>
        </w:rPr>
        <w:t>Unidad Académica de Ciencias Químicas Biológicas y Farmacéuticas</w:t>
      </w:r>
      <w:r>
        <w:rPr>
          <w:rFonts w:ascii="Arial" w:hAnsi="Arial" w:cs="Arial"/>
          <w:sz w:val="24"/>
          <w:szCs w:val="24"/>
        </w:rPr>
        <w:t xml:space="preserve">. </w:t>
      </w:r>
      <w:r w:rsidRPr="005D5313">
        <w:rPr>
          <w:rFonts w:ascii="Arial" w:hAnsi="Arial" w:cs="Arial"/>
          <w:sz w:val="24"/>
          <w:szCs w:val="24"/>
        </w:rPr>
        <w:t xml:space="preserve">Cd. De la Cultura Amado Nervo. C.P. 63000. Tepic, Nayarit. </w:t>
      </w:r>
      <w:r w:rsidRPr="005F115E">
        <w:rPr>
          <w:rFonts w:ascii="Arial" w:hAnsi="Arial" w:cs="Arial"/>
          <w:sz w:val="24"/>
          <w:szCs w:val="24"/>
          <w:vertAlign w:val="superscript"/>
        </w:rPr>
        <w:t>3</w:t>
      </w:r>
      <w:r>
        <w:rPr>
          <w:rFonts w:ascii="Arial" w:hAnsi="Arial" w:cs="Arial"/>
          <w:sz w:val="24"/>
          <w:szCs w:val="24"/>
        </w:rPr>
        <w:t xml:space="preserve">Unidad Especializada </w:t>
      </w:r>
      <w:r w:rsidRPr="005F115E">
        <w:rPr>
          <w:rFonts w:ascii="Arial" w:hAnsi="Arial" w:cs="Arial"/>
          <w:sz w:val="24"/>
          <w:szCs w:val="24"/>
        </w:rPr>
        <w:t>Laboratorio</w:t>
      </w:r>
      <w:r w:rsidRPr="005D5313">
        <w:rPr>
          <w:rFonts w:ascii="Arial" w:hAnsi="Arial" w:cs="Arial"/>
          <w:sz w:val="24"/>
          <w:szCs w:val="24"/>
        </w:rPr>
        <w:t xml:space="preserve"> Nacional para la Investigación en Inocuidad Alimentaria-LANIIA-Unidad Nayarit. Centro Nayarita de Innovación y Transferencia de Tecnología A.C. Calle Tres S/N, Col. Cd. Industrial C.P. 63173. Tepic, Nayarit; México.</w:t>
      </w:r>
    </w:p>
    <w:p w14:paraId="02D0F3F2" w14:textId="77777777" w:rsidR="00E86FDB" w:rsidRPr="00EF0B61" w:rsidRDefault="00E86FDB" w:rsidP="000704BC">
      <w:pPr>
        <w:spacing w:line="360" w:lineRule="auto"/>
        <w:jc w:val="both"/>
        <w:rPr>
          <w:rFonts w:ascii="Arial" w:hAnsi="Arial" w:cs="Arial"/>
          <w:sz w:val="24"/>
          <w:szCs w:val="24"/>
        </w:rPr>
      </w:pPr>
    </w:p>
    <w:p w14:paraId="17274037" w14:textId="1FDD367C" w:rsidR="005461EC" w:rsidRPr="00EF0B61" w:rsidRDefault="007C18F2" w:rsidP="000704BC">
      <w:pPr>
        <w:spacing w:line="360" w:lineRule="auto"/>
        <w:jc w:val="both"/>
        <w:rPr>
          <w:rFonts w:ascii="Arial" w:hAnsi="Arial" w:cs="Arial"/>
          <w:sz w:val="24"/>
          <w:szCs w:val="24"/>
        </w:rPr>
      </w:pPr>
      <w:r w:rsidRPr="00EF0B61">
        <w:rPr>
          <w:rFonts w:ascii="Arial" w:hAnsi="Arial" w:cs="Arial"/>
          <w:sz w:val="24"/>
          <w:szCs w:val="24"/>
        </w:rPr>
        <w:t>Resumen: Las</w:t>
      </w:r>
      <w:r w:rsidR="005461EC" w:rsidRPr="00EF0B61">
        <w:rPr>
          <w:rFonts w:ascii="Arial" w:hAnsi="Arial" w:cs="Arial"/>
          <w:sz w:val="24"/>
          <w:szCs w:val="24"/>
        </w:rPr>
        <w:t xml:space="preserve"> fumonisinas son micotoxinas producidas principalmente por hongos de las especies: </w:t>
      </w:r>
      <w:r w:rsidR="005461EC" w:rsidRPr="00461D4B">
        <w:rPr>
          <w:rFonts w:ascii="Arial" w:hAnsi="Arial" w:cs="Arial"/>
          <w:i/>
          <w:sz w:val="24"/>
          <w:szCs w:val="24"/>
        </w:rPr>
        <w:t xml:space="preserve">Fusarium </w:t>
      </w:r>
      <w:r w:rsidR="00227709" w:rsidRPr="00461D4B">
        <w:rPr>
          <w:rFonts w:ascii="Arial" w:hAnsi="Arial" w:cs="Arial"/>
          <w:i/>
          <w:sz w:val="24"/>
          <w:szCs w:val="24"/>
        </w:rPr>
        <w:t>verticillioides, proliferatum</w:t>
      </w:r>
      <w:r w:rsidR="005461EC" w:rsidRPr="00461D4B">
        <w:rPr>
          <w:rFonts w:ascii="Arial" w:hAnsi="Arial" w:cs="Arial"/>
          <w:i/>
          <w:sz w:val="24"/>
          <w:szCs w:val="24"/>
        </w:rPr>
        <w:t xml:space="preserve">, nygamai, anthophilum, </w:t>
      </w:r>
      <w:r w:rsidR="00227709" w:rsidRPr="00461D4B">
        <w:rPr>
          <w:rFonts w:ascii="Arial" w:hAnsi="Arial" w:cs="Arial"/>
          <w:i/>
          <w:sz w:val="24"/>
          <w:szCs w:val="24"/>
        </w:rPr>
        <w:t>napiforme,</w:t>
      </w:r>
      <w:r w:rsidR="005461EC" w:rsidRPr="00461D4B">
        <w:rPr>
          <w:rFonts w:ascii="Arial" w:hAnsi="Arial" w:cs="Arial"/>
          <w:i/>
          <w:sz w:val="24"/>
          <w:szCs w:val="24"/>
        </w:rPr>
        <w:t xml:space="preserve"> polyphialidicum, y oxysporum</w:t>
      </w:r>
      <w:r w:rsidR="005461EC" w:rsidRPr="00EF0B61">
        <w:rPr>
          <w:rFonts w:ascii="Arial" w:hAnsi="Arial" w:cs="Arial"/>
          <w:sz w:val="24"/>
          <w:szCs w:val="24"/>
        </w:rPr>
        <w:t>. Estas micotoxinas se encuentran c</w:t>
      </w:r>
      <w:r w:rsidR="0045471F" w:rsidRPr="00EF0B61">
        <w:rPr>
          <w:rFonts w:ascii="Arial" w:hAnsi="Arial" w:cs="Arial"/>
          <w:sz w:val="24"/>
          <w:szCs w:val="24"/>
        </w:rPr>
        <w:t xml:space="preserve">atalogadas por la IARC en el </w:t>
      </w:r>
      <w:r w:rsidR="005461EC" w:rsidRPr="00EF0B61">
        <w:rPr>
          <w:rFonts w:ascii="Arial" w:hAnsi="Arial" w:cs="Arial"/>
          <w:sz w:val="24"/>
          <w:szCs w:val="24"/>
        </w:rPr>
        <w:t>grupo 2B debido a sus efectos tóxicos</w:t>
      </w:r>
      <w:r w:rsidR="0045471F" w:rsidRPr="00EF0B61">
        <w:rPr>
          <w:rFonts w:ascii="Arial" w:hAnsi="Arial" w:cs="Arial"/>
          <w:sz w:val="24"/>
          <w:szCs w:val="24"/>
        </w:rPr>
        <w:t xml:space="preserve">. El objetivo de este trabajo </w:t>
      </w:r>
      <w:r w:rsidRPr="00EF0B61">
        <w:rPr>
          <w:rFonts w:ascii="Arial" w:hAnsi="Arial" w:cs="Arial"/>
          <w:sz w:val="24"/>
          <w:szCs w:val="24"/>
        </w:rPr>
        <w:t>fue determinar</w:t>
      </w:r>
      <w:r w:rsidR="0045471F" w:rsidRPr="00EF0B61">
        <w:rPr>
          <w:rFonts w:ascii="Arial" w:hAnsi="Arial" w:cs="Arial"/>
          <w:sz w:val="24"/>
          <w:szCs w:val="24"/>
        </w:rPr>
        <w:t xml:space="preserve"> y </w:t>
      </w:r>
      <w:r w:rsidRPr="00EF0B61">
        <w:rPr>
          <w:rFonts w:ascii="Arial" w:hAnsi="Arial" w:cs="Arial"/>
          <w:sz w:val="24"/>
          <w:szCs w:val="24"/>
        </w:rPr>
        <w:t>cuantificar</w:t>
      </w:r>
      <w:r w:rsidR="00C05265" w:rsidRPr="00EF0B61">
        <w:rPr>
          <w:rFonts w:ascii="Arial" w:hAnsi="Arial" w:cs="Arial"/>
          <w:sz w:val="24"/>
          <w:szCs w:val="24"/>
        </w:rPr>
        <w:t xml:space="preserve"> la pr</w:t>
      </w:r>
      <w:r w:rsidR="0045471F" w:rsidRPr="00EF0B61">
        <w:rPr>
          <w:rFonts w:ascii="Arial" w:hAnsi="Arial" w:cs="Arial"/>
          <w:sz w:val="24"/>
          <w:szCs w:val="24"/>
        </w:rPr>
        <w:t xml:space="preserve">esencia de Fumonisinas en Maíz en </w:t>
      </w:r>
      <w:r w:rsidR="005461EC" w:rsidRPr="00EF0B61">
        <w:rPr>
          <w:rFonts w:ascii="Arial" w:hAnsi="Arial" w:cs="Arial"/>
          <w:sz w:val="24"/>
          <w:szCs w:val="24"/>
        </w:rPr>
        <w:t xml:space="preserve">16 muestras de maíz para el consumo humano y 15 muestras de maíz forrajero, en ambos casos de los diversos mercados establecidos en la ciudad de Tepic, Nayarit. Se </w:t>
      </w:r>
      <w:r w:rsidR="00C05265" w:rsidRPr="00EF0B61">
        <w:rPr>
          <w:rFonts w:ascii="Arial" w:hAnsi="Arial" w:cs="Arial"/>
          <w:sz w:val="24"/>
          <w:szCs w:val="24"/>
        </w:rPr>
        <w:t>realizó</w:t>
      </w:r>
      <w:r w:rsidR="005461EC" w:rsidRPr="00EF0B61">
        <w:rPr>
          <w:rFonts w:ascii="Arial" w:hAnsi="Arial" w:cs="Arial"/>
          <w:sz w:val="24"/>
          <w:szCs w:val="24"/>
        </w:rPr>
        <w:t xml:space="preserve"> la determinación de fumon</w:t>
      </w:r>
      <w:r w:rsidR="00227709" w:rsidRPr="00EF0B61">
        <w:rPr>
          <w:rFonts w:ascii="Arial" w:hAnsi="Arial" w:cs="Arial"/>
          <w:sz w:val="24"/>
          <w:szCs w:val="24"/>
        </w:rPr>
        <w:t>isinas por medio</w:t>
      </w:r>
      <w:r w:rsidR="005461EC" w:rsidRPr="00EF0B61">
        <w:rPr>
          <w:rFonts w:ascii="Arial" w:hAnsi="Arial" w:cs="Arial"/>
          <w:sz w:val="24"/>
          <w:szCs w:val="24"/>
        </w:rPr>
        <w:t xml:space="preserve"> de ELISA competitiva utilizando un kit comercial RIDASCREEN®FAST Fumonisin R-Biopharme, el cual cuantifica la concentración de fumonisinas totales comparando los valores de las muestras contra una curva estándar. Una vez evaluadas las muestras se encontró que en el caso de maíz pozolero las concentraciones mínimas de fumonisinas fueron &lt;0.222ppm, en cuanto al maíz forrajero las concentraciones</w:t>
      </w:r>
      <w:r w:rsidR="0045471F" w:rsidRPr="00EF0B61">
        <w:rPr>
          <w:rFonts w:ascii="Arial" w:hAnsi="Arial" w:cs="Arial"/>
          <w:sz w:val="24"/>
          <w:szCs w:val="24"/>
        </w:rPr>
        <w:t xml:space="preserve"> se encontraron en niveles de</w:t>
      </w:r>
      <w:r w:rsidR="005461EC" w:rsidRPr="00EF0B61">
        <w:rPr>
          <w:rFonts w:ascii="Arial" w:hAnsi="Arial" w:cs="Arial"/>
          <w:sz w:val="24"/>
          <w:szCs w:val="24"/>
        </w:rPr>
        <w:t xml:space="preserve"> &lt;0.222ppm hasta 4 ppm.</w:t>
      </w:r>
    </w:p>
    <w:p w14:paraId="57D731C1" w14:textId="125B38A5" w:rsidR="00C05265" w:rsidRPr="00461D4B" w:rsidRDefault="0045471F" w:rsidP="000704BC">
      <w:pPr>
        <w:spacing w:line="360" w:lineRule="auto"/>
        <w:jc w:val="both"/>
        <w:rPr>
          <w:rFonts w:ascii="Arial" w:hAnsi="Arial" w:cs="Arial"/>
          <w:b/>
          <w:sz w:val="24"/>
          <w:szCs w:val="24"/>
        </w:rPr>
      </w:pPr>
      <w:r w:rsidRPr="00461D4B">
        <w:rPr>
          <w:rFonts w:ascii="Arial" w:hAnsi="Arial" w:cs="Arial"/>
          <w:b/>
          <w:sz w:val="24"/>
          <w:szCs w:val="24"/>
        </w:rPr>
        <w:t>1-</w:t>
      </w:r>
      <w:r w:rsidR="00C05265" w:rsidRPr="00461D4B">
        <w:rPr>
          <w:rFonts w:ascii="Arial" w:hAnsi="Arial" w:cs="Arial"/>
          <w:b/>
          <w:sz w:val="24"/>
          <w:szCs w:val="24"/>
        </w:rPr>
        <w:t>I</w:t>
      </w:r>
      <w:r w:rsidR="00461D4B" w:rsidRPr="00461D4B">
        <w:rPr>
          <w:rFonts w:ascii="Arial" w:hAnsi="Arial" w:cs="Arial"/>
          <w:b/>
          <w:sz w:val="24"/>
          <w:szCs w:val="24"/>
        </w:rPr>
        <w:t>ntroducción</w:t>
      </w:r>
    </w:p>
    <w:p w14:paraId="233CCA3B" w14:textId="5AE72DB7" w:rsidR="00D71E05" w:rsidRPr="00EF0B61" w:rsidRDefault="00C05265" w:rsidP="000704BC">
      <w:pPr>
        <w:spacing w:line="360" w:lineRule="auto"/>
        <w:jc w:val="both"/>
        <w:rPr>
          <w:rFonts w:ascii="Arial" w:hAnsi="Arial" w:cs="Arial"/>
          <w:sz w:val="24"/>
          <w:szCs w:val="24"/>
        </w:rPr>
      </w:pPr>
      <w:r w:rsidRPr="00EF0B61">
        <w:rPr>
          <w:rFonts w:ascii="Arial" w:hAnsi="Arial" w:cs="Arial"/>
          <w:sz w:val="24"/>
          <w:szCs w:val="24"/>
        </w:rPr>
        <w:lastRenderedPageBreak/>
        <w:t xml:space="preserve">Las micotoxinas son metabolitos fúngicos secundarios producidos por mohos filamentosos. Son compuestos de bajo peso molecular y poseen una estructura química y actividad toxicológica muy variada (Ramos, 2011). En la actualidad, se conocen más de 300 micotoxinas, aunque la atención científica se centra principalmente en aquellas que han demostrado ser cancerígenos y/o tóxicos. La exposición humana a las micotoxinas puede resultar de consumo de alimentos derivados de las plantas los cuales son contaminados por el arrastre de dichas micotoxinas, otra fuente de exposición es por </w:t>
      </w:r>
      <w:r w:rsidR="00227709" w:rsidRPr="00EF0B61">
        <w:rPr>
          <w:rFonts w:ascii="Arial" w:hAnsi="Arial" w:cs="Arial"/>
          <w:sz w:val="24"/>
          <w:szCs w:val="24"/>
        </w:rPr>
        <w:t>medio de</w:t>
      </w:r>
      <w:r w:rsidRPr="00EF0B61">
        <w:rPr>
          <w:rFonts w:ascii="Arial" w:hAnsi="Arial" w:cs="Arial"/>
          <w:sz w:val="24"/>
          <w:szCs w:val="24"/>
        </w:rPr>
        <w:t xml:space="preserve"> alimentos como carne y huevos (</w:t>
      </w:r>
      <w:r w:rsidR="00227709" w:rsidRPr="00EF0B61">
        <w:rPr>
          <w:rFonts w:ascii="Arial" w:hAnsi="Arial" w:cs="Arial"/>
          <w:sz w:val="24"/>
          <w:szCs w:val="24"/>
        </w:rPr>
        <w:t>Sánchez</w:t>
      </w:r>
      <w:r w:rsidRPr="00EF0B61">
        <w:rPr>
          <w:rFonts w:ascii="Arial" w:hAnsi="Arial" w:cs="Arial"/>
          <w:sz w:val="24"/>
          <w:szCs w:val="24"/>
        </w:rPr>
        <w:t xml:space="preserve"> &amp;Carrillo,</w:t>
      </w:r>
      <w:r w:rsidR="00461D4B">
        <w:rPr>
          <w:rFonts w:ascii="Arial" w:hAnsi="Arial" w:cs="Arial"/>
          <w:sz w:val="24"/>
          <w:szCs w:val="24"/>
        </w:rPr>
        <w:t xml:space="preserve"> </w:t>
      </w:r>
      <w:r w:rsidRPr="00EF0B61">
        <w:rPr>
          <w:rFonts w:ascii="Arial" w:hAnsi="Arial" w:cs="Arial"/>
          <w:sz w:val="24"/>
          <w:szCs w:val="24"/>
        </w:rPr>
        <w:t>2010)</w:t>
      </w:r>
      <w:r w:rsidR="00917B42" w:rsidRPr="00EF0B61">
        <w:rPr>
          <w:rFonts w:ascii="Arial" w:hAnsi="Arial" w:cs="Arial"/>
          <w:sz w:val="24"/>
          <w:szCs w:val="24"/>
        </w:rPr>
        <w:t>.</w:t>
      </w:r>
    </w:p>
    <w:p w14:paraId="15B26A4D" w14:textId="06F5EAC9" w:rsidR="00C05265" w:rsidRPr="00EF0B61" w:rsidRDefault="00C05265" w:rsidP="000704BC">
      <w:pPr>
        <w:spacing w:line="360" w:lineRule="auto"/>
        <w:jc w:val="both"/>
        <w:rPr>
          <w:rFonts w:ascii="Arial" w:hAnsi="Arial" w:cs="Arial"/>
          <w:sz w:val="24"/>
          <w:szCs w:val="24"/>
        </w:rPr>
      </w:pPr>
      <w:r w:rsidRPr="00EF0B61">
        <w:rPr>
          <w:rFonts w:ascii="Arial" w:hAnsi="Arial" w:cs="Arial"/>
          <w:sz w:val="24"/>
          <w:szCs w:val="24"/>
        </w:rPr>
        <w:t>Las</w:t>
      </w:r>
      <w:r w:rsidRPr="00EF0B61">
        <w:rPr>
          <w:rFonts w:ascii="Arial" w:hAnsi="Arial" w:cs="Arial"/>
          <w:sz w:val="24"/>
          <w:szCs w:val="24"/>
          <w:shd w:val="clear" w:color="auto" w:fill="FFFFFF"/>
        </w:rPr>
        <w:t xml:space="preserve"> micotoxinas de mayor importancia de la salud pública y la agro-económica incluyen las aflatoxinas, ocratoxinas, tricotecenos, </w:t>
      </w:r>
      <w:r w:rsidR="00227709" w:rsidRPr="00EF0B61">
        <w:rPr>
          <w:rFonts w:ascii="Arial" w:hAnsi="Arial" w:cs="Arial"/>
          <w:sz w:val="24"/>
          <w:szCs w:val="24"/>
          <w:shd w:val="clear" w:color="auto" w:fill="FFFFFF"/>
        </w:rPr>
        <w:t>zearalenona,</w:t>
      </w:r>
      <w:r w:rsidRPr="00EF0B61">
        <w:rPr>
          <w:rFonts w:ascii="Arial" w:hAnsi="Arial" w:cs="Arial"/>
          <w:sz w:val="24"/>
          <w:szCs w:val="24"/>
          <w:shd w:val="clear" w:color="auto" w:fill="FFFFFF"/>
        </w:rPr>
        <w:t xml:space="preserve"> </w:t>
      </w:r>
      <w:r w:rsidR="00227709" w:rsidRPr="00EF0B61">
        <w:rPr>
          <w:rFonts w:ascii="Arial" w:hAnsi="Arial" w:cs="Arial"/>
          <w:sz w:val="24"/>
          <w:szCs w:val="24"/>
          <w:shd w:val="clear" w:color="auto" w:fill="FFFFFF"/>
        </w:rPr>
        <w:t>fumonisinas,</w:t>
      </w:r>
      <w:r w:rsidRPr="00EF0B61">
        <w:rPr>
          <w:rFonts w:ascii="Arial" w:hAnsi="Arial" w:cs="Arial"/>
          <w:sz w:val="24"/>
          <w:szCs w:val="24"/>
          <w:shd w:val="clear" w:color="auto" w:fill="FFFFFF"/>
        </w:rPr>
        <w:t xml:space="preserve"> y alcaloides del ergot</w:t>
      </w:r>
      <w:sdt>
        <w:sdtPr>
          <w:rPr>
            <w:rFonts w:ascii="Arial" w:hAnsi="Arial" w:cs="Arial"/>
            <w:sz w:val="24"/>
            <w:szCs w:val="24"/>
            <w:shd w:val="clear" w:color="auto" w:fill="FFFFFF"/>
          </w:rPr>
          <w:id w:val="577186495"/>
          <w:citation/>
        </w:sdtPr>
        <w:sdtEndPr/>
        <w:sdtContent>
          <w:r w:rsidRPr="00EF0B61">
            <w:rPr>
              <w:rFonts w:ascii="Arial" w:hAnsi="Arial" w:cs="Arial"/>
              <w:sz w:val="24"/>
              <w:szCs w:val="24"/>
              <w:shd w:val="clear" w:color="auto" w:fill="FFFFFF"/>
            </w:rPr>
            <w:fldChar w:fldCharType="begin"/>
          </w:r>
          <w:r w:rsidRPr="00EF0B61">
            <w:rPr>
              <w:rFonts w:ascii="Arial" w:hAnsi="Arial" w:cs="Arial"/>
              <w:sz w:val="24"/>
              <w:szCs w:val="24"/>
              <w:shd w:val="clear" w:color="auto" w:fill="FFFFFF"/>
            </w:rPr>
            <w:instrText xml:space="preserve"> CITATION Moh11 \l 2058 </w:instrText>
          </w:r>
          <w:r w:rsidRPr="00EF0B61">
            <w:rPr>
              <w:rFonts w:ascii="Arial" w:hAnsi="Arial" w:cs="Arial"/>
              <w:sz w:val="24"/>
              <w:szCs w:val="24"/>
              <w:shd w:val="clear" w:color="auto" w:fill="FFFFFF"/>
            </w:rPr>
            <w:fldChar w:fldCharType="separate"/>
          </w:r>
          <w:r w:rsidRPr="00EF0B61">
            <w:rPr>
              <w:rFonts w:ascii="Arial" w:hAnsi="Arial" w:cs="Arial"/>
              <w:noProof/>
              <w:sz w:val="24"/>
              <w:szCs w:val="24"/>
              <w:shd w:val="clear" w:color="auto" w:fill="FFFFFF"/>
            </w:rPr>
            <w:t xml:space="preserve"> (Zain, 2011)</w:t>
          </w:r>
          <w:r w:rsidRPr="00EF0B61">
            <w:rPr>
              <w:rFonts w:ascii="Arial" w:hAnsi="Arial" w:cs="Arial"/>
              <w:sz w:val="24"/>
              <w:szCs w:val="24"/>
              <w:shd w:val="clear" w:color="auto" w:fill="FFFFFF"/>
            </w:rPr>
            <w:fldChar w:fldCharType="end"/>
          </w:r>
        </w:sdtContent>
      </w:sdt>
      <w:r w:rsidRPr="00EF0B61">
        <w:rPr>
          <w:rFonts w:ascii="Arial" w:hAnsi="Arial" w:cs="Arial"/>
          <w:sz w:val="24"/>
          <w:szCs w:val="24"/>
          <w:shd w:val="clear" w:color="auto" w:fill="FFFFFF"/>
        </w:rPr>
        <w:t>.</w:t>
      </w:r>
    </w:p>
    <w:p w14:paraId="78A4DBC5" w14:textId="3C115974" w:rsidR="00917B42" w:rsidRPr="00EF0B61" w:rsidRDefault="00C05265" w:rsidP="000704BC">
      <w:pPr>
        <w:spacing w:line="360" w:lineRule="auto"/>
        <w:jc w:val="both"/>
        <w:rPr>
          <w:rFonts w:ascii="Arial" w:hAnsi="Arial" w:cs="Arial"/>
          <w:sz w:val="24"/>
          <w:szCs w:val="24"/>
          <w:shd w:val="clear" w:color="auto" w:fill="FFFFFF"/>
        </w:rPr>
      </w:pPr>
      <w:r w:rsidRPr="00EF0B61">
        <w:rPr>
          <w:rFonts w:ascii="Arial" w:hAnsi="Arial" w:cs="Arial"/>
          <w:sz w:val="24"/>
          <w:szCs w:val="24"/>
          <w:shd w:val="clear" w:color="auto" w:fill="FFFFFF"/>
        </w:rPr>
        <w:t>F</w:t>
      </w:r>
      <w:r w:rsidR="00461D4B" w:rsidRPr="00EF0B61">
        <w:rPr>
          <w:rFonts w:ascii="Arial" w:hAnsi="Arial" w:cs="Arial"/>
          <w:sz w:val="24"/>
          <w:szCs w:val="24"/>
          <w:shd w:val="clear" w:color="auto" w:fill="FFFFFF"/>
        </w:rPr>
        <w:t xml:space="preserve">umonisinas y su estructura </w:t>
      </w:r>
      <w:r w:rsidR="007C18F2" w:rsidRPr="00EF0B61">
        <w:rPr>
          <w:rFonts w:ascii="Arial" w:hAnsi="Arial" w:cs="Arial"/>
          <w:sz w:val="24"/>
          <w:szCs w:val="24"/>
          <w:shd w:val="clear" w:color="auto" w:fill="FFFFFF"/>
        </w:rPr>
        <w:t>química</w:t>
      </w:r>
      <w:r w:rsidR="00461D4B" w:rsidRPr="00EF0B61">
        <w:rPr>
          <w:rFonts w:ascii="Arial" w:hAnsi="Arial" w:cs="Arial"/>
          <w:sz w:val="24"/>
          <w:szCs w:val="24"/>
          <w:shd w:val="clear" w:color="auto" w:fill="FFFFFF"/>
        </w:rPr>
        <w:t xml:space="preserve"> </w:t>
      </w:r>
    </w:p>
    <w:p w14:paraId="678FFF90" w14:textId="0E346C97" w:rsidR="00C05265" w:rsidRPr="00EF0B61" w:rsidRDefault="00C05265" w:rsidP="000704BC">
      <w:pPr>
        <w:spacing w:line="360" w:lineRule="auto"/>
        <w:jc w:val="both"/>
        <w:rPr>
          <w:rFonts w:ascii="Arial" w:hAnsi="Arial" w:cs="Arial"/>
          <w:sz w:val="24"/>
          <w:szCs w:val="24"/>
          <w:shd w:val="clear" w:color="auto" w:fill="FFFFFF"/>
        </w:rPr>
      </w:pPr>
      <w:r w:rsidRPr="00EF0B61">
        <w:rPr>
          <w:rFonts w:ascii="Arial" w:hAnsi="Arial" w:cs="Arial"/>
          <w:sz w:val="24"/>
          <w:szCs w:val="24"/>
        </w:rPr>
        <w:t xml:space="preserve">Las fumonisinas son micotoxinas producidas principalmente por hongos de las especies: </w:t>
      </w:r>
      <w:r w:rsidRPr="00EF0B61">
        <w:rPr>
          <w:rFonts w:ascii="Arial" w:hAnsi="Arial" w:cs="Arial"/>
          <w:i/>
          <w:sz w:val="24"/>
          <w:szCs w:val="24"/>
        </w:rPr>
        <w:t xml:space="preserve">Fusarium </w:t>
      </w:r>
      <w:r w:rsidR="00227709" w:rsidRPr="00EF0B61">
        <w:rPr>
          <w:rFonts w:ascii="Arial" w:hAnsi="Arial" w:cs="Arial"/>
          <w:i/>
          <w:sz w:val="24"/>
          <w:szCs w:val="24"/>
        </w:rPr>
        <w:t>verticillioides,</w:t>
      </w:r>
      <w:r w:rsidRPr="00EF0B61">
        <w:rPr>
          <w:rFonts w:ascii="Arial" w:hAnsi="Arial" w:cs="Arial"/>
          <w:i/>
          <w:sz w:val="24"/>
          <w:szCs w:val="24"/>
        </w:rPr>
        <w:t xml:space="preserve"> fusarium proliferatum, fusarium </w:t>
      </w:r>
      <w:r w:rsidR="00227709" w:rsidRPr="00EF0B61">
        <w:rPr>
          <w:rFonts w:ascii="Arial" w:hAnsi="Arial" w:cs="Arial"/>
          <w:i/>
          <w:sz w:val="24"/>
          <w:szCs w:val="24"/>
        </w:rPr>
        <w:t>nygamai, fusarium</w:t>
      </w:r>
      <w:r w:rsidRPr="00EF0B61">
        <w:rPr>
          <w:rFonts w:ascii="Arial" w:hAnsi="Arial" w:cs="Arial"/>
          <w:i/>
          <w:sz w:val="24"/>
          <w:szCs w:val="24"/>
        </w:rPr>
        <w:t xml:space="preserve"> </w:t>
      </w:r>
      <w:r w:rsidR="00227709" w:rsidRPr="00EF0B61">
        <w:rPr>
          <w:rFonts w:ascii="Arial" w:hAnsi="Arial" w:cs="Arial"/>
          <w:i/>
          <w:sz w:val="24"/>
          <w:szCs w:val="24"/>
        </w:rPr>
        <w:t>anthophilum, fusarium</w:t>
      </w:r>
      <w:r w:rsidRPr="00EF0B61">
        <w:rPr>
          <w:rFonts w:ascii="Arial" w:hAnsi="Arial" w:cs="Arial"/>
          <w:i/>
          <w:sz w:val="24"/>
          <w:szCs w:val="24"/>
        </w:rPr>
        <w:t xml:space="preserve"> </w:t>
      </w:r>
      <w:r w:rsidR="00227709" w:rsidRPr="00EF0B61">
        <w:rPr>
          <w:rFonts w:ascii="Arial" w:hAnsi="Arial" w:cs="Arial"/>
          <w:i/>
          <w:sz w:val="24"/>
          <w:szCs w:val="24"/>
        </w:rPr>
        <w:t>napiforme, fusarium</w:t>
      </w:r>
      <w:r w:rsidRPr="00EF0B61">
        <w:rPr>
          <w:rFonts w:ascii="Arial" w:hAnsi="Arial" w:cs="Arial"/>
          <w:i/>
          <w:sz w:val="24"/>
          <w:szCs w:val="24"/>
        </w:rPr>
        <w:t xml:space="preserve"> polyphialidicum, y fusarium </w:t>
      </w:r>
      <w:r w:rsidR="00227709" w:rsidRPr="00EF0B61">
        <w:rPr>
          <w:rFonts w:ascii="Arial" w:hAnsi="Arial" w:cs="Arial"/>
          <w:i/>
          <w:sz w:val="24"/>
          <w:szCs w:val="24"/>
        </w:rPr>
        <w:t>oxysporum.</w:t>
      </w:r>
      <w:r w:rsidR="00227709" w:rsidRPr="00EF0B61">
        <w:rPr>
          <w:rFonts w:ascii="Arial" w:hAnsi="Arial" w:cs="Arial"/>
          <w:sz w:val="24"/>
          <w:szCs w:val="24"/>
        </w:rPr>
        <w:t xml:space="preserve"> (Rodríguez</w:t>
      </w:r>
      <w:r w:rsidRPr="00EF0B61">
        <w:rPr>
          <w:rFonts w:ascii="Arial" w:hAnsi="Arial" w:cs="Arial"/>
          <w:sz w:val="24"/>
          <w:szCs w:val="24"/>
        </w:rPr>
        <w:t xml:space="preserve"> et, al.2002). </w:t>
      </w:r>
      <w:r w:rsidRPr="00EF0B61">
        <w:rPr>
          <w:rFonts w:ascii="Arial" w:hAnsi="Arial" w:cs="Arial"/>
          <w:sz w:val="24"/>
          <w:szCs w:val="24"/>
          <w:shd w:val="clear" w:color="auto" w:fill="FFFFFF"/>
        </w:rPr>
        <w:t>Estructuralmente, las fumonisinas son amino-polialcoholes formados por una cadena alifática de 20 carbonos sustituida con dos grupos tricarboxilicos unidos mediante enlaces tipo éster, los cuales les confieren solubilidad en agua, grupos hidroxilos, grupos metilo y amina (Martínez Cardoza 2016).</w:t>
      </w:r>
    </w:p>
    <w:p w14:paraId="1A4C1FD7" w14:textId="25743595" w:rsidR="00C05265" w:rsidRPr="00EF0B61" w:rsidRDefault="00C05265" w:rsidP="000704BC">
      <w:pPr>
        <w:spacing w:line="360" w:lineRule="auto"/>
        <w:jc w:val="both"/>
        <w:rPr>
          <w:rFonts w:ascii="Arial" w:hAnsi="Arial" w:cs="Arial"/>
          <w:sz w:val="24"/>
          <w:szCs w:val="24"/>
          <w:shd w:val="clear" w:color="auto" w:fill="FFFFFF"/>
        </w:rPr>
      </w:pPr>
      <w:r w:rsidRPr="00EF0B61">
        <w:rPr>
          <w:rFonts w:ascii="Arial" w:hAnsi="Arial" w:cs="Arial"/>
          <w:sz w:val="24"/>
          <w:szCs w:val="24"/>
          <w:shd w:val="clear" w:color="auto" w:fill="FFFFFF"/>
        </w:rPr>
        <w:t>E</w:t>
      </w:r>
      <w:r w:rsidR="00461D4B" w:rsidRPr="00EF0B61">
        <w:rPr>
          <w:rFonts w:ascii="Arial" w:hAnsi="Arial" w:cs="Arial"/>
          <w:sz w:val="24"/>
          <w:szCs w:val="24"/>
          <w:shd w:val="clear" w:color="auto" w:fill="FFFFFF"/>
        </w:rPr>
        <w:t>fectos tóxicos de las fumonisinas</w:t>
      </w:r>
    </w:p>
    <w:p w14:paraId="756E3D7D" w14:textId="6FCBC54E" w:rsidR="00C05265" w:rsidRPr="00EF0B61" w:rsidRDefault="00C05265" w:rsidP="000704BC">
      <w:pPr>
        <w:spacing w:line="360" w:lineRule="auto"/>
        <w:jc w:val="both"/>
        <w:rPr>
          <w:rFonts w:ascii="Arial" w:hAnsi="Arial" w:cs="Arial"/>
          <w:sz w:val="24"/>
          <w:szCs w:val="24"/>
          <w:shd w:val="clear" w:color="auto" w:fill="FFFFFF"/>
        </w:rPr>
      </w:pPr>
      <w:r w:rsidRPr="00EF0B61">
        <w:rPr>
          <w:rFonts w:ascii="Arial" w:hAnsi="Arial" w:cs="Arial"/>
          <w:sz w:val="24"/>
          <w:szCs w:val="24"/>
          <w:shd w:val="clear" w:color="auto" w:fill="FFFFFF"/>
        </w:rPr>
        <w:t>Estas toxinas causan leucoencefalomacia en equinos, edema pulmonar e hidrotórax en porcinos, así como efectos carcinogénicos y apoptosis en el hígado. En los seres humanos existe una asociación probable con el desarrollo de cáncer de esófago y la exposición a FB</w:t>
      </w:r>
      <w:r w:rsidRPr="00EF0B61">
        <w:rPr>
          <w:rFonts w:ascii="Arial" w:hAnsi="Arial" w:cs="Arial"/>
          <w:sz w:val="24"/>
          <w:szCs w:val="24"/>
          <w:shd w:val="clear" w:color="auto" w:fill="FFFFFF"/>
          <w:vertAlign w:val="subscript"/>
        </w:rPr>
        <w:t>1</w:t>
      </w:r>
      <w:r w:rsidRPr="00EF0B61">
        <w:rPr>
          <w:rFonts w:ascii="Arial" w:hAnsi="Arial" w:cs="Arial"/>
          <w:sz w:val="24"/>
          <w:szCs w:val="24"/>
          <w:shd w:val="clear" w:color="auto" w:fill="FFFFFF"/>
        </w:rPr>
        <w:t xml:space="preserve">. </w:t>
      </w:r>
      <w:r w:rsidRPr="00EF0B61">
        <w:rPr>
          <w:rFonts w:ascii="Arial" w:hAnsi="Arial" w:cs="Arial"/>
          <w:sz w:val="24"/>
          <w:szCs w:val="24"/>
        </w:rPr>
        <w:t xml:space="preserve">(Ramos,2011). </w:t>
      </w:r>
      <w:r w:rsidRPr="00EF0B61">
        <w:rPr>
          <w:rFonts w:ascii="Arial" w:hAnsi="Arial" w:cs="Arial"/>
          <w:color w:val="000000"/>
          <w:sz w:val="24"/>
          <w:szCs w:val="24"/>
          <w:shd w:val="clear" w:color="auto" w:fill="FFFFFF"/>
        </w:rPr>
        <w:t>La Agencia Internacional de Investigación en Cáncer (IARC), catalogó a las fumonisinas, como posibles carcinógenos humanos (Grupo 2B).</w:t>
      </w:r>
      <w:sdt>
        <w:sdtPr>
          <w:rPr>
            <w:rFonts w:ascii="Arial" w:hAnsi="Arial" w:cs="Arial"/>
            <w:sz w:val="24"/>
            <w:szCs w:val="24"/>
            <w:shd w:val="clear" w:color="auto" w:fill="FFFFFF"/>
          </w:rPr>
          <w:id w:val="-1523382237"/>
          <w:citation/>
        </w:sdtPr>
        <w:sdtEndPr/>
        <w:sdtContent>
          <w:r w:rsidRPr="00EF0B61">
            <w:rPr>
              <w:rFonts w:ascii="Arial" w:hAnsi="Arial" w:cs="Arial"/>
              <w:sz w:val="24"/>
              <w:szCs w:val="24"/>
              <w:shd w:val="clear" w:color="auto" w:fill="FFFFFF"/>
            </w:rPr>
            <w:fldChar w:fldCharType="begin"/>
          </w:r>
          <w:r w:rsidRPr="00EF0B61">
            <w:rPr>
              <w:rFonts w:ascii="Arial" w:hAnsi="Arial" w:cs="Arial"/>
              <w:sz w:val="24"/>
              <w:szCs w:val="24"/>
              <w:shd w:val="clear" w:color="auto" w:fill="FFFFFF"/>
            </w:rPr>
            <w:instrText xml:space="preserve"> CITATION Moh11 \l 2058 </w:instrText>
          </w:r>
          <w:r w:rsidRPr="00EF0B61">
            <w:rPr>
              <w:rFonts w:ascii="Arial" w:hAnsi="Arial" w:cs="Arial"/>
              <w:sz w:val="24"/>
              <w:szCs w:val="24"/>
              <w:shd w:val="clear" w:color="auto" w:fill="FFFFFF"/>
            </w:rPr>
            <w:fldChar w:fldCharType="separate"/>
          </w:r>
          <w:r w:rsidRPr="00EF0B61">
            <w:rPr>
              <w:rFonts w:ascii="Arial" w:hAnsi="Arial" w:cs="Arial"/>
              <w:noProof/>
              <w:sz w:val="24"/>
              <w:szCs w:val="24"/>
              <w:shd w:val="clear" w:color="auto" w:fill="FFFFFF"/>
            </w:rPr>
            <w:t xml:space="preserve"> (Zain, 2011)</w:t>
          </w:r>
          <w:r w:rsidRPr="00EF0B61">
            <w:rPr>
              <w:rFonts w:ascii="Arial" w:hAnsi="Arial" w:cs="Arial"/>
              <w:sz w:val="24"/>
              <w:szCs w:val="24"/>
              <w:shd w:val="clear" w:color="auto" w:fill="FFFFFF"/>
            </w:rPr>
            <w:fldChar w:fldCharType="end"/>
          </w:r>
        </w:sdtContent>
      </w:sdt>
      <w:r w:rsidRPr="00EF0B61">
        <w:rPr>
          <w:rFonts w:ascii="Arial" w:hAnsi="Arial" w:cs="Arial"/>
          <w:sz w:val="24"/>
          <w:szCs w:val="24"/>
          <w:shd w:val="clear" w:color="auto" w:fill="FFFFFF"/>
        </w:rPr>
        <w:t>.</w:t>
      </w:r>
    </w:p>
    <w:p w14:paraId="2ED4590E" w14:textId="77777777" w:rsidR="00D71E05" w:rsidRPr="00EF0B61" w:rsidRDefault="00C05265" w:rsidP="000704BC">
      <w:pPr>
        <w:spacing w:line="360" w:lineRule="auto"/>
        <w:jc w:val="both"/>
        <w:rPr>
          <w:rFonts w:ascii="Arial" w:hAnsi="Arial" w:cs="Arial"/>
          <w:sz w:val="24"/>
          <w:szCs w:val="24"/>
        </w:rPr>
      </w:pPr>
      <w:r w:rsidRPr="00EF0B61">
        <w:rPr>
          <w:rStyle w:val="apple-converted-space"/>
          <w:rFonts w:ascii="Arial" w:hAnsi="Arial" w:cs="Arial"/>
          <w:sz w:val="24"/>
          <w:szCs w:val="24"/>
        </w:rPr>
        <w:t xml:space="preserve">Debido a que las fumonisinas tienen una estructura química similar a la cadena larga de los precursores de los esfingolípidos, se considera que el metabolismo de estos </w:t>
      </w:r>
      <w:r w:rsidRPr="00EF0B61">
        <w:rPr>
          <w:rStyle w:val="apple-converted-space"/>
          <w:rFonts w:ascii="Arial" w:hAnsi="Arial" w:cs="Arial"/>
          <w:sz w:val="24"/>
          <w:szCs w:val="24"/>
        </w:rPr>
        <w:lastRenderedPageBreak/>
        <w:t xml:space="preserve">últimos es el blanco de la acción tóxica de la fumonisina. El metabolismo de los esfingolípidos consta de dos etapas, la síntesis de </w:t>
      </w:r>
      <w:r w:rsidRPr="00EF0B61">
        <w:rPr>
          <w:rStyle w:val="apple-converted-space"/>
          <w:rFonts w:ascii="Arial" w:hAnsi="Arial" w:cs="Arial"/>
          <w:i/>
          <w:sz w:val="24"/>
          <w:szCs w:val="24"/>
        </w:rPr>
        <w:t>novo</w:t>
      </w:r>
      <w:r w:rsidRPr="00EF0B61">
        <w:rPr>
          <w:rStyle w:val="apple-converted-space"/>
          <w:rFonts w:ascii="Arial" w:hAnsi="Arial" w:cs="Arial"/>
          <w:sz w:val="24"/>
          <w:szCs w:val="24"/>
        </w:rPr>
        <w:t xml:space="preserve"> a partir del complejo serina palmitoil-CoA y el recambio de esfingolípidos que incluye la hidrólisis de esfingolípidos complejos. En ambas etapas interviene la enzima ceramida sintetasa, la cual es bloqueada por la acción de la fumonisina. Este bloqueo conlleva la inhibición en la síntesis de ceramida, incremento de la esfinganina y la esfingosina, una mayor degradación de las bases esfingoides provenientes de la dieta, y finalmente, una reducción en la formación de esfingomielina. (</w:t>
      </w:r>
      <w:r w:rsidRPr="00EF0B61">
        <w:rPr>
          <w:rFonts w:ascii="Arial" w:hAnsi="Arial" w:cs="Arial"/>
          <w:sz w:val="24"/>
          <w:szCs w:val="24"/>
        </w:rPr>
        <w:t>Sánchez &amp; Carrillo,2010)</w:t>
      </w:r>
      <w:r w:rsidR="00D71E05" w:rsidRPr="00EF0B61">
        <w:rPr>
          <w:rFonts w:ascii="Arial" w:hAnsi="Arial" w:cs="Arial"/>
          <w:sz w:val="24"/>
          <w:szCs w:val="24"/>
        </w:rPr>
        <w:t>.</w:t>
      </w:r>
    </w:p>
    <w:p w14:paraId="7E741DA9" w14:textId="5B830632" w:rsidR="00C05265" w:rsidRPr="00EF0B61" w:rsidRDefault="00C05265" w:rsidP="000704BC">
      <w:pPr>
        <w:spacing w:line="360" w:lineRule="auto"/>
        <w:jc w:val="both"/>
        <w:rPr>
          <w:rFonts w:ascii="Arial" w:hAnsi="Arial" w:cs="Arial"/>
          <w:sz w:val="24"/>
          <w:szCs w:val="24"/>
        </w:rPr>
      </w:pPr>
      <w:r w:rsidRPr="00EF0B61">
        <w:rPr>
          <w:rFonts w:ascii="Arial" w:hAnsi="Arial" w:cs="Arial"/>
          <w:sz w:val="24"/>
          <w:szCs w:val="24"/>
        </w:rPr>
        <w:t>F</w:t>
      </w:r>
      <w:r w:rsidR="00461D4B" w:rsidRPr="00EF0B61">
        <w:rPr>
          <w:rFonts w:ascii="Arial" w:hAnsi="Arial" w:cs="Arial"/>
          <w:sz w:val="24"/>
          <w:szCs w:val="24"/>
        </w:rPr>
        <w:t>actores determinantes en la producción de micotoxinas por fusarium</w:t>
      </w:r>
    </w:p>
    <w:p w14:paraId="47A2D388" w14:textId="63854F14" w:rsidR="00C05265" w:rsidRPr="00EF0B61" w:rsidRDefault="00C05265" w:rsidP="000704BC">
      <w:pPr>
        <w:spacing w:line="360" w:lineRule="auto"/>
        <w:jc w:val="both"/>
        <w:rPr>
          <w:rFonts w:ascii="Arial" w:hAnsi="Arial" w:cs="Arial"/>
          <w:sz w:val="24"/>
          <w:szCs w:val="24"/>
        </w:rPr>
      </w:pPr>
      <w:r w:rsidRPr="00EF0B61">
        <w:rPr>
          <w:rFonts w:ascii="Arial" w:hAnsi="Arial" w:cs="Arial"/>
          <w:sz w:val="24"/>
          <w:szCs w:val="24"/>
        </w:rPr>
        <w:t xml:space="preserve">Son muchos los estudios realizados que tratan de determinar las condiciones ambientales que favorecen la biosíntesis de micotoxinas producidas por el </w:t>
      </w:r>
      <w:r w:rsidR="00227709" w:rsidRPr="00EF0B61">
        <w:rPr>
          <w:rFonts w:ascii="Arial" w:hAnsi="Arial" w:cs="Arial"/>
          <w:sz w:val="24"/>
          <w:szCs w:val="24"/>
        </w:rPr>
        <w:t>género</w:t>
      </w:r>
      <w:r w:rsidRPr="00EF0B61">
        <w:rPr>
          <w:rFonts w:ascii="Arial" w:hAnsi="Arial" w:cs="Arial"/>
          <w:sz w:val="24"/>
          <w:szCs w:val="24"/>
        </w:rPr>
        <w:t xml:space="preserve"> </w:t>
      </w:r>
      <w:r w:rsidR="00227709" w:rsidRPr="00EF0B61">
        <w:rPr>
          <w:rFonts w:ascii="Arial" w:hAnsi="Arial" w:cs="Arial"/>
          <w:sz w:val="24"/>
          <w:szCs w:val="24"/>
        </w:rPr>
        <w:t>fusarium,</w:t>
      </w:r>
      <w:r w:rsidRPr="00EF0B61">
        <w:rPr>
          <w:rFonts w:ascii="Arial" w:hAnsi="Arial" w:cs="Arial"/>
          <w:sz w:val="24"/>
          <w:szCs w:val="24"/>
        </w:rPr>
        <w:t xml:space="preserve"> entre los factores ambientales se en</w:t>
      </w:r>
      <w:r w:rsidR="00461D4B">
        <w:rPr>
          <w:rFonts w:ascii="Arial" w:hAnsi="Arial" w:cs="Arial"/>
          <w:sz w:val="24"/>
          <w:szCs w:val="24"/>
        </w:rPr>
        <w:t xml:space="preserve">cuentran actividad de agua (aw) la cual debe de oscilar entre 0.93 y </w:t>
      </w:r>
      <w:r w:rsidR="007C18F2">
        <w:rPr>
          <w:rFonts w:ascii="Arial" w:hAnsi="Arial" w:cs="Arial"/>
          <w:sz w:val="24"/>
          <w:szCs w:val="24"/>
        </w:rPr>
        <w:t>0.98, temperatura</w:t>
      </w:r>
      <w:r w:rsidR="00461D4B">
        <w:rPr>
          <w:rFonts w:ascii="Arial" w:hAnsi="Arial" w:cs="Arial"/>
          <w:sz w:val="24"/>
          <w:szCs w:val="24"/>
        </w:rPr>
        <w:t xml:space="preserve"> </w:t>
      </w:r>
      <w:r w:rsidR="007C18F2">
        <w:rPr>
          <w:rFonts w:ascii="Arial" w:hAnsi="Arial" w:cs="Arial"/>
          <w:sz w:val="24"/>
          <w:szCs w:val="24"/>
        </w:rPr>
        <w:t>optima de</w:t>
      </w:r>
      <w:r w:rsidR="007F04E1">
        <w:rPr>
          <w:rFonts w:ascii="Arial" w:hAnsi="Arial" w:cs="Arial"/>
          <w:sz w:val="24"/>
          <w:szCs w:val="24"/>
        </w:rPr>
        <w:t xml:space="preserve"> 20-26</w:t>
      </w:r>
      <w:r w:rsidR="007F04E1" w:rsidRPr="00EF0B61">
        <w:rPr>
          <w:rFonts w:ascii="Arial" w:hAnsi="Arial" w:cs="Arial"/>
          <w:sz w:val="24"/>
          <w:szCs w:val="24"/>
        </w:rPr>
        <w:t>°C</w:t>
      </w:r>
      <w:r w:rsidR="007F04E1">
        <w:rPr>
          <w:rFonts w:ascii="Arial" w:hAnsi="Arial" w:cs="Arial"/>
          <w:sz w:val="24"/>
          <w:szCs w:val="24"/>
        </w:rPr>
        <w:t xml:space="preserve"> </w:t>
      </w:r>
      <w:r w:rsidRPr="00EF0B61">
        <w:rPr>
          <w:rFonts w:ascii="Arial" w:hAnsi="Arial" w:cs="Arial"/>
          <w:sz w:val="24"/>
          <w:szCs w:val="24"/>
        </w:rPr>
        <w:t>(Mateo et al.,2002; Larsen et al.,2004).</w:t>
      </w:r>
    </w:p>
    <w:p w14:paraId="04A98317" w14:textId="77777777" w:rsidR="00C05265" w:rsidRPr="00EF0B61" w:rsidRDefault="00C05265" w:rsidP="000704BC">
      <w:pPr>
        <w:spacing w:line="360" w:lineRule="auto"/>
        <w:jc w:val="both"/>
        <w:rPr>
          <w:rFonts w:ascii="Arial" w:hAnsi="Arial" w:cs="Arial"/>
          <w:color w:val="000000"/>
          <w:sz w:val="24"/>
          <w:szCs w:val="24"/>
          <w:shd w:val="clear" w:color="auto" w:fill="FFFFFF"/>
        </w:rPr>
      </w:pPr>
      <w:r w:rsidRPr="00EF0B61">
        <w:rPr>
          <w:rFonts w:ascii="Arial" w:hAnsi="Arial" w:cs="Arial"/>
          <w:color w:val="000000"/>
          <w:sz w:val="24"/>
          <w:szCs w:val="24"/>
          <w:shd w:val="clear" w:color="auto" w:fill="FFFFFF"/>
        </w:rPr>
        <w:t>MAÍZ EN MEXICO</w:t>
      </w:r>
    </w:p>
    <w:p w14:paraId="7616C512" w14:textId="77777777" w:rsidR="00C05265" w:rsidRPr="00EF0B61" w:rsidRDefault="00C05265" w:rsidP="000704BC">
      <w:pPr>
        <w:spacing w:line="360" w:lineRule="auto"/>
        <w:jc w:val="both"/>
        <w:rPr>
          <w:rFonts w:ascii="Arial" w:hAnsi="Arial" w:cs="Arial"/>
          <w:sz w:val="24"/>
          <w:szCs w:val="24"/>
        </w:rPr>
      </w:pPr>
      <w:r w:rsidRPr="00EF0B61">
        <w:rPr>
          <w:rFonts w:ascii="Arial" w:hAnsi="Arial" w:cs="Arial"/>
          <w:color w:val="000000"/>
          <w:sz w:val="24"/>
          <w:szCs w:val="24"/>
          <w:shd w:val="clear" w:color="auto" w:fill="FFFFFF"/>
        </w:rPr>
        <w:t xml:space="preserve">De acuerdo a datos del año 2015, proporcionados por el atlas de agroalimentarios, México ocupa el décimo lugar en producción mundial de maíz forrajero, con una producción de 12,615,756 toneladas. En el caso de maíz de grano destinado al consumo humano, nuestro país ocupa el séptimo lugar a nivel mundial con una producción de 22,663,953 toneladas. Debido a la demanda del producto su importación ha aumentado significativamente hasta llegar a los 11.9 millones de toneladas en el año 2015, esto se debe a que la dieta de la población de nuestro país tiene como base dicho producto desde la tortilla, hasta productos comerciales como las harinas. </w:t>
      </w:r>
      <w:sdt>
        <w:sdtPr>
          <w:rPr>
            <w:rFonts w:ascii="Arial" w:hAnsi="Arial" w:cs="Arial"/>
            <w:color w:val="000000"/>
            <w:sz w:val="24"/>
            <w:szCs w:val="24"/>
            <w:shd w:val="clear" w:color="auto" w:fill="FFFFFF"/>
          </w:rPr>
          <w:id w:val="-412930848"/>
          <w:citation/>
        </w:sdtPr>
        <w:sdtEndPr/>
        <w:sdtContent>
          <w:r w:rsidRPr="00EF0B61">
            <w:rPr>
              <w:rFonts w:ascii="Arial" w:hAnsi="Arial" w:cs="Arial"/>
              <w:color w:val="000000"/>
              <w:sz w:val="24"/>
              <w:szCs w:val="24"/>
              <w:shd w:val="clear" w:color="auto" w:fill="FFFFFF"/>
            </w:rPr>
            <w:fldChar w:fldCharType="begin"/>
          </w:r>
          <w:r w:rsidRPr="00EF0B61">
            <w:rPr>
              <w:rFonts w:ascii="Arial" w:hAnsi="Arial" w:cs="Arial"/>
              <w:color w:val="000000"/>
              <w:sz w:val="24"/>
              <w:szCs w:val="24"/>
              <w:shd w:val="clear" w:color="auto" w:fill="FFFFFF"/>
            </w:rPr>
            <w:instrText xml:space="preserve"> CITATION SAG16 \l 2058 </w:instrText>
          </w:r>
          <w:r w:rsidRPr="00EF0B61">
            <w:rPr>
              <w:rFonts w:ascii="Arial" w:hAnsi="Arial" w:cs="Arial"/>
              <w:color w:val="000000"/>
              <w:sz w:val="24"/>
              <w:szCs w:val="24"/>
              <w:shd w:val="clear" w:color="auto" w:fill="FFFFFF"/>
            </w:rPr>
            <w:fldChar w:fldCharType="separate"/>
          </w:r>
          <w:r w:rsidRPr="00EF0B61">
            <w:rPr>
              <w:rFonts w:ascii="Arial" w:hAnsi="Arial" w:cs="Arial"/>
              <w:noProof/>
              <w:color w:val="000000"/>
              <w:sz w:val="24"/>
              <w:szCs w:val="24"/>
              <w:shd w:val="clear" w:color="auto" w:fill="FFFFFF"/>
            </w:rPr>
            <w:t>(SAGARPA, 2016)</w:t>
          </w:r>
          <w:r w:rsidRPr="00EF0B61">
            <w:rPr>
              <w:rFonts w:ascii="Arial" w:hAnsi="Arial" w:cs="Arial"/>
              <w:color w:val="000000"/>
              <w:sz w:val="24"/>
              <w:szCs w:val="24"/>
              <w:shd w:val="clear" w:color="auto" w:fill="FFFFFF"/>
            </w:rPr>
            <w:fldChar w:fldCharType="end"/>
          </w:r>
        </w:sdtContent>
      </w:sdt>
      <w:r w:rsidRPr="00EF0B61">
        <w:rPr>
          <w:rFonts w:ascii="Arial" w:hAnsi="Arial" w:cs="Arial"/>
          <w:color w:val="000000"/>
          <w:sz w:val="24"/>
          <w:szCs w:val="24"/>
          <w:shd w:val="clear" w:color="auto" w:fill="FFFFFF"/>
        </w:rPr>
        <w:t>.</w:t>
      </w:r>
    </w:p>
    <w:p w14:paraId="45449116" w14:textId="7A605619" w:rsidR="00D30E0A" w:rsidRPr="00EF0B61" w:rsidRDefault="00D30E0A" w:rsidP="000704BC">
      <w:pPr>
        <w:pStyle w:val="NormalWeb"/>
        <w:shd w:val="clear" w:color="auto" w:fill="FFFFFF"/>
        <w:spacing w:line="360" w:lineRule="auto"/>
        <w:jc w:val="both"/>
        <w:rPr>
          <w:rFonts w:ascii="Arial" w:hAnsi="Arial" w:cs="Arial"/>
          <w:b/>
        </w:rPr>
      </w:pPr>
      <w:r w:rsidRPr="00EF0B61">
        <w:rPr>
          <w:rFonts w:ascii="Arial" w:hAnsi="Arial" w:cs="Arial"/>
          <w:b/>
        </w:rPr>
        <w:t>ANTECEDENTES</w:t>
      </w:r>
    </w:p>
    <w:p w14:paraId="051AB630" w14:textId="1F65BCEF" w:rsidR="00D30E0A" w:rsidRPr="00EF0B61" w:rsidRDefault="00D30E0A" w:rsidP="000704BC">
      <w:pPr>
        <w:pStyle w:val="NormalWeb"/>
        <w:shd w:val="clear" w:color="auto" w:fill="FFFFFF"/>
        <w:spacing w:line="360" w:lineRule="auto"/>
        <w:jc w:val="both"/>
        <w:rPr>
          <w:rFonts w:ascii="Arial" w:hAnsi="Arial" w:cs="Arial"/>
          <w:color w:val="000000"/>
          <w:shd w:val="clear" w:color="auto" w:fill="FFFFFF"/>
        </w:rPr>
      </w:pPr>
      <w:r w:rsidRPr="00EF0B61">
        <w:rPr>
          <w:rFonts w:ascii="Arial" w:hAnsi="Arial" w:cs="Arial"/>
        </w:rPr>
        <w:t xml:space="preserve">Aunque el descubrimiento de las fumonisinas no tiene mucho tiempo, la toxicidad del maíz contaminado por </w:t>
      </w:r>
      <w:r w:rsidR="007C18F2" w:rsidRPr="00EF0B61">
        <w:rPr>
          <w:rFonts w:ascii="Arial" w:hAnsi="Arial" w:cs="Arial"/>
          <w:i/>
        </w:rPr>
        <w:t>Fusarium moniliforme</w:t>
      </w:r>
      <w:r w:rsidRPr="00EF0B61">
        <w:rPr>
          <w:rFonts w:ascii="Arial" w:hAnsi="Arial" w:cs="Arial"/>
        </w:rPr>
        <w:t xml:space="preserve"> ha sido bien documentada por más de cien años. En 1850 Graham describió por primera vez en Estados Unidos una </w:t>
      </w:r>
      <w:r w:rsidRPr="00EF0B61">
        <w:rPr>
          <w:rFonts w:ascii="Arial" w:hAnsi="Arial" w:cs="Arial"/>
        </w:rPr>
        <w:lastRenderedPageBreak/>
        <w:t xml:space="preserve">enfermedad de animales de granja conocida como "envenenamiento por maíz enmohecido" o "estancos ciegos". El agente causal permaneció desconocido hasta que Sheldon et.al en 1904 descubrió la relación que existía entre el crecimiento del hongo  </w:t>
      </w:r>
      <w:r w:rsidRPr="00EF0B61">
        <w:rPr>
          <w:rFonts w:ascii="Arial" w:hAnsi="Arial" w:cs="Arial"/>
          <w:i/>
        </w:rPr>
        <w:t>Fusarium moniliforme</w:t>
      </w:r>
      <w:r w:rsidRPr="00EF0B61">
        <w:rPr>
          <w:rFonts w:ascii="Arial" w:hAnsi="Arial" w:cs="Arial"/>
        </w:rPr>
        <w:t xml:space="preserve"> con un brote de enfermedad de maíz mohosa de caballos, vacas, mulos, cerdos, etc. Las fumonisinas fueron</w:t>
      </w:r>
      <w:r w:rsidRPr="00EF0B61">
        <w:rPr>
          <w:rStyle w:val="apple-converted-space"/>
          <w:rFonts w:ascii="Arial" w:hAnsi="Arial" w:cs="Arial"/>
          <w:color w:val="000000"/>
          <w:shd w:val="clear" w:color="auto" w:fill="FFFFFF"/>
        </w:rPr>
        <w:t> </w:t>
      </w:r>
      <w:r w:rsidRPr="00EF0B61">
        <w:rPr>
          <w:rFonts w:ascii="Arial" w:hAnsi="Arial" w:cs="Arial"/>
          <w:color w:val="000000"/>
          <w:shd w:val="clear" w:color="auto" w:fill="FFFFFF"/>
        </w:rPr>
        <w:t>aisladas y descritas por primera vez en Sudáfrica en 1988, para el año 1993 la IARC ya las había categorizado como posibles carcinógenos en humanos a partir de este hecho se comenzaron a realizar investigaciones sobre la presencia de dichas fumonisinas en alimentos especialmente cereales y productos a base de maíz.</w:t>
      </w:r>
      <w:r w:rsidRPr="00EF0B61" w:rsidDel="002A45ED">
        <w:rPr>
          <w:rFonts w:ascii="Arial" w:hAnsi="Arial" w:cs="Arial"/>
        </w:rPr>
        <w:t xml:space="preserve"> </w:t>
      </w:r>
      <w:r w:rsidRPr="00EF0B61">
        <w:rPr>
          <w:rFonts w:ascii="Arial" w:hAnsi="Arial" w:cs="Arial"/>
          <w:color w:val="000000"/>
          <w:shd w:val="clear" w:color="auto" w:fill="FFFFFF"/>
        </w:rPr>
        <w:t>Ghiasian y colaboradores en 2006 realizaron una evaluación sobre el contenido de fumonisinas en el maíz de las principales regiones en Irán, obteniendo que todas las muestras de la región de Mazandaran estaban contaminados con fumonisinas, en concentraciones promedio de 10.674 mg/kg.  Para el 2007 Hollub evaluó la presencia de fumonisinas en alimentos a base de maíz en el estado de Texas, obteniendo como resultados que la concentración fumonisinas en dichos productos van desde 0,047 a 4,9 pg/g de muestra. Para el 2011 Magro y colaboradores evaluaron los niveles de fumonisinas B1 y B2 en maíz comercial en Estados Unidos   encontrando   u</w:t>
      </w:r>
      <w:r w:rsidR="00E47915" w:rsidRPr="00EF0B61">
        <w:rPr>
          <w:rFonts w:ascii="Arial" w:hAnsi="Arial" w:cs="Arial"/>
          <w:color w:val="000000"/>
          <w:shd w:val="clear" w:color="auto" w:fill="FFFFFF"/>
        </w:rPr>
        <w:t>na concentración superior a 15 µ</w:t>
      </w:r>
      <w:r w:rsidRPr="00EF0B61">
        <w:rPr>
          <w:rFonts w:ascii="Arial" w:hAnsi="Arial" w:cs="Arial"/>
          <w:color w:val="000000"/>
          <w:shd w:val="clear" w:color="auto" w:fill="FFFFFF"/>
        </w:rPr>
        <w:t>g/kg, esto en todas las muestras. Así mismo en el año 2012 Zhang y colaboradores realizaron análisis de maíz en las principales zonas productoras en el oeste de China encontrando que la concentración de fumonisinas está entre 186- 784 µg/ g en la mayoría de las muestras.</w:t>
      </w:r>
      <w:r w:rsidR="00F103C3" w:rsidRPr="00EF0B61">
        <w:rPr>
          <w:rFonts w:ascii="Arial" w:hAnsi="Arial" w:cs="Arial"/>
          <w:color w:val="000000"/>
          <w:shd w:val="clear" w:color="auto" w:fill="FFFFFF"/>
        </w:rPr>
        <w:t xml:space="preserve"> </w:t>
      </w:r>
      <w:r w:rsidRPr="00EF0B61">
        <w:rPr>
          <w:rFonts w:ascii="Arial" w:hAnsi="Arial" w:cs="Arial"/>
          <w:color w:val="000000"/>
          <w:shd w:val="clear" w:color="auto" w:fill="FFFFFF"/>
        </w:rPr>
        <w:t xml:space="preserve">Para el año 2016, Cong realizó un monitoreo de muestras de maíz en Shandong Provincia de </w:t>
      </w:r>
      <w:r w:rsidR="007C18F2" w:rsidRPr="00EF0B61">
        <w:rPr>
          <w:rFonts w:ascii="Arial" w:hAnsi="Arial" w:cs="Arial"/>
          <w:color w:val="000000"/>
          <w:shd w:val="clear" w:color="auto" w:fill="FFFFFF"/>
        </w:rPr>
        <w:t>China, obteniendo</w:t>
      </w:r>
      <w:r w:rsidRPr="00EF0B61">
        <w:rPr>
          <w:rFonts w:ascii="Arial" w:hAnsi="Arial" w:cs="Arial"/>
          <w:color w:val="000000"/>
          <w:shd w:val="clear" w:color="auto" w:fill="FFFFFF"/>
        </w:rPr>
        <w:t xml:space="preserve"> que el 19% de las </w:t>
      </w:r>
      <w:r w:rsidR="007C18F2" w:rsidRPr="00EF0B61">
        <w:rPr>
          <w:rFonts w:ascii="Arial" w:hAnsi="Arial" w:cs="Arial"/>
          <w:color w:val="000000"/>
          <w:shd w:val="clear" w:color="auto" w:fill="FFFFFF"/>
        </w:rPr>
        <w:t>muestras tenían</w:t>
      </w:r>
      <w:r w:rsidRPr="00EF0B61">
        <w:rPr>
          <w:rFonts w:ascii="Arial" w:hAnsi="Arial" w:cs="Arial"/>
          <w:color w:val="000000"/>
          <w:shd w:val="clear" w:color="auto" w:fill="FFFFFF"/>
        </w:rPr>
        <w:t xml:space="preserve"> niveles de contaminación por </w:t>
      </w:r>
      <w:r w:rsidR="007C18F2" w:rsidRPr="00EF0B61">
        <w:rPr>
          <w:rFonts w:ascii="Arial" w:hAnsi="Arial" w:cs="Arial"/>
          <w:color w:val="000000"/>
          <w:shd w:val="clear" w:color="auto" w:fill="FFFFFF"/>
        </w:rPr>
        <w:t>fumonisinas superiores</w:t>
      </w:r>
      <w:r w:rsidRPr="00EF0B61">
        <w:rPr>
          <w:rFonts w:ascii="Arial" w:hAnsi="Arial" w:cs="Arial"/>
          <w:color w:val="000000"/>
          <w:shd w:val="clear" w:color="auto" w:fill="FFFFFF"/>
        </w:rPr>
        <w:t xml:space="preserve"> a 2000 y 4000µg/</w:t>
      </w:r>
      <w:r w:rsidR="007C18F2" w:rsidRPr="00EF0B61">
        <w:rPr>
          <w:rFonts w:ascii="Arial" w:hAnsi="Arial" w:cs="Arial"/>
          <w:color w:val="000000"/>
          <w:shd w:val="clear" w:color="auto" w:fill="FFFFFF"/>
        </w:rPr>
        <w:t>g,</w:t>
      </w:r>
      <w:r w:rsidRPr="00EF0B61">
        <w:rPr>
          <w:rFonts w:ascii="Arial" w:hAnsi="Arial" w:cs="Arial"/>
          <w:color w:val="000000"/>
          <w:shd w:val="clear" w:color="auto" w:fill="FFFFFF"/>
        </w:rPr>
        <w:t xml:space="preserve"> que son los límites máximos establecidos por la Administración de Alimentos y Medicamentos de los Estados Unidos y la Co</w:t>
      </w:r>
      <w:r w:rsidR="00CC6FEC">
        <w:rPr>
          <w:rFonts w:ascii="Arial" w:hAnsi="Arial" w:cs="Arial"/>
          <w:color w:val="000000"/>
          <w:shd w:val="clear" w:color="auto" w:fill="FFFFFF"/>
        </w:rPr>
        <w:t>misión Europea, respectivamente.</w:t>
      </w:r>
      <w:r w:rsidRPr="00EF0B61">
        <w:rPr>
          <w:rFonts w:ascii="Arial" w:hAnsi="Arial" w:cs="Arial"/>
          <w:color w:val="000000"/>
          <w:shd w:val="clear" w:color="auto" w:fill="FFFFFF"/>
        </w:rPr>
        <w:t xml:space="preserve"> </w:t>
      </w:r>
    </w:p>
    <w:p w14:paraId="6CCBF1FA" w14:textId="64B11230" w:rsidR="00D30E0A" w:rsidRPr="00EF0B61" w:rsidRDefault="0045471F" w:rsidP="000704BC">
      <w:pPr>
        <w:pStyle w:val="NormalWeb"/>
        <w:shd w:val="clear" w:color="auto" w:fill="FFFFFF"/>
        <w:spacing w:line="360" w:lineRule="auto"/>
        <w:jc w:val="both"/>
        <w:rPr>
          <w:rFonts w:ascii="Arial" w:hAnsi="Arial" w:cs="Arial"/>
          <w:b/>
          <w:color w:val="000000"/>
          <w:shd w:val="clear" w:color="auto" w:fill="FFFFFF"/>
        </w:rPr>
      </w:pPr>
      <w:r w:rsidRPr="00EF0B61">
        <w:rPr>
          <w:rFonts w:ascii="Arial" w:hAnsi="Arial" w:cs="Arial"/>
          <w:b/>
          <w:color w:val="000000"/>
          <w:shd w:val="clear" w:color="auto" w:fill="FFFFFF"/>
        </w:rPr>
        <w:t>2.</w:t>
      </w:r>
      <w:r w:rsidR="00D30E0A" w:rsidRPr="00EF0B61">
        <w:rPr>
          <w:rFonts w:ascii="Arial" w:hAnsi="Arial" w:cs="Arial"/>
          <w:b/>
          <w:color w:val="000000"/>
          <w:shd w:val="clear" w:color="auto" w:fill="FFFFFF"/>
        </w:rPr>
        <w:t>J</w:t>
      </w:r>
      <w:r w:rsidR="00CC6FEC" w:rsidRPr="00EF0B61">
        <w:rPr>
          <w:rFonts w:ascii="Arial" w:hAnsi="Arial" w:cs="Arial"/>
          <w:b/>
          <w:color w:val="000000"/>
          <w:shd w:val="clear" w:color="auto" w:fill="FFFFFF"/>
        </w:rPr>
        <w:t>ustificación</w:t>
      </w:r>
    </w:p>
    <w:p w14:paraId="670EF9E8" w14:textId="20C848DC" w:rsidR="00D30E0A" w:rsidRPr="00EF0B61" w:rsidRDefault="00D30E0A" w:rsidP="000704BC">
      <w:pPr>
        <w:pStyle w:val="NormalWeb"/>
        <w:shd w:val="clear" w:color="auto" w:fill="FFFFFF"/>
        <w:spacing w:line="360" w:lineRule="auto"/>
        <w:jc w:val="both"/>
        <w:rPr>
          <w:rFonts w:ascii="Arial" w:hAnsi="Arial" w:cs="Arial"/>
          <w:color w:val="000000"/>
          <w:shd w:val="clear" w:color="auto" w:fill="FFFFFF"/>
        </w:rPr>
      </w:pPr>
      <w:r w:rsidRPr="00EF0B61">
        <w:rPr>
          <w:rFonts w:ascii="Arial" w:hAnsi="Arial" w:cs="Arial"/>
          <w:color w:val="000000"/>
          <w:shd w:val="clear" w:color="auto" w:fill="FFFFFF"/>
        </w:rPr>
        <w:t xml:space="preserve">El maíz es uno de los principales granos de consumo diario </w:t>
      </w:r>
      <w:r w:rsidR="0045471F" w:rsidRPr="00EF0B61">
        <w:rPr>
          <w:rFonts w:ascii="Arial" w:hAnsi="Arial" w:cs="Arial"/>
          <w:color w:val="000000"/>
          <w:shd w:val="clear" w:color="auto" w:fill="FFFFFF"/>
        </w:rPr>
        <w:t xml:space="preserve">en las familias mexicana, </w:t>
      </w:r>
      <w:r w:rsidRPr="00EF0B61">
        <w:rPr>
          <w:rFonts w:ascii="Arial" w:hAnsi="Arial" w:cs="Arial"/>
          <w:color w:val="000000"/>
          <w:shd w:val="clear" w:color="auto" w:fill="FFFFFF"/>
        </w:rPr>
        <w:t>donde se han re</w:t>
      </w:r>
      <w:r w:rsidR="0045471F" w:rsidRPr="00EF0B61">
        <w:rPr>
          <w:rFonts w:ascii="Arial" w:hAnsi="Arial" w:cs="Arial"/>
          <w:color w:val="000000"/>
          <w:shd w:val="clear" w:color="auto" w:fill="FFFFFF"/>
        </w:rPr>
        <w:t>portado cantidades la presencia de</w:t>
      </w:r>
      <w:r w:rsidRPr="00EF0B61">
        <w:rPr>
          <w:rFonts w:ascii="Arial" w:hAnsi="Arial" w:cs="Arial"/>
          <w:color w:val="000000"/>
          <w:shd w:val="clear" w:color="auto" w:fill="FFFFFF"/>
        </w:rPr>
        <w:t xml:space="preserve"> hongos productores de Fumonisin</w:t>
      </w:r>
      <w:r w:rsidR="0045471F" w:rsidRPr="00EF0B61">
        <w:rPr>
          <w:rFonts w:ascii="Arial" w:hAnsi="Arial" w:cs="Arial"/>
          <w:color w:val="000000"/>
          <w:shd w:val="clear" w:color="auto" w:fill="FFFFFF"/>
        </w:rPr>
        <w:t>as,</w:t>
      </w:r>
      <w:r w:rsidRPr="00EF0B61">
        <w:rPr>
          <w:rFonts w:ascii="Arial" w:hAnsi="Arial" w:cs="Arial"/>
          <w:color w:val="000000"/>
          <w:shd w:val="clear" w:color="auto" w:fill="FFFFFF"/>
        </w:rPr>
        <w:t xml:space="preserve"> dichas micotoxinas provocan daños a la salud, así como perdidas económicas significativas a los productores. </w:t>
      </w:r>
    </w:p>
    <w:p w14:paraId="44961D50" w14:textId="77777777" w:rsidR="00D30E0A" w:rsidRPr="00EF0B61" w:rsidRDefault="00D30E0A" w:rsidP="000704BC">
      <w:pPr>
        <w:pStyle w:val="NormalWeb"/>
        <w:shd w:val="clear" w:color="auto" w:fill="FFFFFF"/>
        <w:spacing w:line="360" w:lineRule="auto"/>
        <w:jc w:val="both"/>
        <w:rPr>
          <w:rFonts w:ascii="Arial" w:hAnsi="Arial" w:cs="Arial"/>
          <w:color w:val="000000"/>
          <w:shd w:val="clear" w:color="auto" w:fill="FFFFFF"/>
        </w:rPr>
      </w:pPr>
      <w:r w:rsidRPr="00EF0B61">
        <w:rPr>
          <w:rFonts w:ascii="Arial" w:hAnsi="Arial" w:cs="Arial"/>
          <w:color w:val="000000"/>
          <w:shd w:val="clear" w:color="auto" w:fill="FFFFFF"/>
        </w:rPr>
        <w:lastRenderedPageBreak/>
        <w:t>En este trabajo se evaluarán el maíz forrajero y de consumo humano, ya que de acuerdo a datos del año 2015 proporcionados por el atlas de agroalimentarios México ocupa el décimo lugar en producción de maíz forrajero, por otra parte, ha incrementado las exportaciones e importaciones de dicho producto. En el caso de maíz de grano destinado al consumo humano nuestro país ocupa el séptimo lugar a nivel mundial, debido a la demanda del producto su importación ha aumentado significativamente en el año 2015, esto se debe a que la dieta de la población de nuestro país tiene como base dicho producto desde la tortilla, hasta productos comerciales como las harinas. Nayarit no se encuentra entre los estados con mayor producción de maíz, no obstante, la dieta de los nayaritas también lo incluye como principal materia prima, de igual manera la ganadería en el estado es una de las principales actividades económicas para lo cual utilizan como principal alimento el maíz forrajero, a pesar de los riesgos que implica la contaminación de dichos granos en nuestro estado son pocos, sino es que nulos, los estudios que se han realizado sobre dicho tema , por lo que en este  trabajo pretendemos brindar información que sea útil para la regulación de dichos productos y así disminuir el riesgo que esto puede ser tanto para las personas como para los animales de nuestro estado.</w:t>
      </w:r>
    </w:p>
    <w:p w14:paraId="6F58F7C8" w14:textId="7C3F8805" w:rsidR="00135FC5" w:rsidRPr="00EF0B61" w:rsidRDefault="00135FC5" w:rsidP="000704BC">
      <w:pPr>
        <w:pStyle w:val="NormalWeb"/>
        <w:shd w:val="clear" w:color="auto" w:fill="FFFFFF"/>
        <w:spacing w:line="360" w:lineRule="auto"/>
        <w:jc w:val="both"/>
        <w:rPr>
          <w:rFonts w:ascii="Arial" w:hAnsi="Arial" w:cs="Arial"/>
          <w:b/>
        </w:rPr>
      </w:pPr>
      <w:r w:rsidRPr="00EF0B61">
        <w:rPr>
          <w:rFonts w:ascii="Arial" w:hAnsi="Arial" w:cs="Arial"/>
          <w:b/>
        </w:rPr>
        <w:t>3.O</w:t>
      </w:r>
      <w:r w:rsidR="00CC6FEC" w:rsidRPr="00EF0B61">
        <w:rPr>
          <w:rFonts w:ascii="Arial" w:hAnsi="Arial" w:cs="Arial"/>
          <w:b/>
        </w:rPr>
        <w:t>bjetivos</w:t>
      </w:r>
    </w:p>
    <w:p w14:paraId="4506404B" w14:textId="4FDA007B" w:rsidR="00135FC5" w:rsidRPr="00EF0B61" w:rsidRDefault="00135FC5" w:rsidP="000704BC">
      <w:pPr>
        <w:pStyle w:val="NormalWeb"/>
        <w:shd w:val="clear" w:color="auto" w:fill="FFFFFF"/>
        <w:spacing w:line="360" w:lineRule="auto"/>
        <w:jc w:val="both"/>
        <w:rPr>
          <w:rFonts w:ascii="Arial" w:hAnsi="Arial" w:cs="Arial"/>
          <w:b/>
        </w:rPr>
      </w:pPr>
      <w:r w:rsidRPr="00EF0B61">
        <w:rPr>
          <w:rFonts w:ascii="Arial" w:hAnsi="Arial" w:cs="Arial"/>
        </w:rPr>
        <w:t>3.1O</w:t>
      </w:r>
      <w:r w:rsidR="00CC6FEC" w:rsidRPr="00EF0B61">
        <w:rPr>
          <w:rFonts w:ascii="Arial" w:hAnsi="Arial" w:cs="Arial"/>
        </w:rPr>
        <w:t>bjetivo general</w:t>
      </w:r>
    </w:p>
    <w:p w14:paraId="4DEF4C58" w14:textId="2F2F4F69" w:rsidR="00D30E0A" w:rsidRPr="00EF0B61" w:rsidRDefault="00D30E0A" w:rsidP="000704BC">
      <w:pPr>
        <w:pStyle w:val="NormalWeb"/>
        <w:shd w:val="clear" w:color="auto" w:fill="FFFFFF"/>
        <w:spacing w:line="360" w:lineRule="auto"/>
        <w:jc w:val="both"/>
        <w:rPr>
          <w:rFonts w:ascii="Arial" w:hAnsi="Arial" w:cs="Arial"/>
        </w:rPr>
      </w:pPr>
      <w:r w:rsidRPr="00EF0B61">
        <w:rPr>
          <w:rFonts w:ascii="Arial" w:hAnsi="Arial" w:cs="Arial"/>
        </w:rPr>
        <w:t>Evaluar la presencia de fumonisinas en Maíz de uso forrajero y para consumo humano que se expende en Tepic Nayarit.</w:t>
      </w:r>
    </w:p>
    <w:p w14:paraId="6F088F5B" w14:textId="14C45D0C" w:rsidR="00084111" w:rsidRPr="00EF0B61" w:rsidRDefault="00135FC5" w:rsidP="000704BC">
      <w:pPr>
        <w:pStyle w:val="NormalWeb"/>
        <w:shd w:val="clear" w:color="auto" w:fill="FFFFFF"/>
        <w:spacing w:line="360" w:lineRule="auto"/>
        <w:jc w:val="both"/>
        <w:rPr>
          <w:rFonts w:ascii="Arial" w:hAnsi="Arial" w:cs="Arial"/>
        </w:rPr>
      </w:pPr>
      <w:r w:rsidRPr="00EF0B61">
        <w:rPr>
          <w:rFonts w:ascii="Arial" w:hAnsi="Arial" w:cs="Arial"/>
        </w:rPr>
        <w:t>3.</w:t>
      </w:r>
      <w:r w:rsidR="007C18F2" w:rsidRPr="00EF0B61">
        <w:rPr>
          <w:rFonts w:ascii="Arial" w:hAnsi="Arial" w:cs="Arial"/>
        </w:rPr>
        <w:t>2.</w:t>
      </w:r>
      <w:r w:rsidR="007C18F2">
        <w:rPr>
          <w:rFonts w:ascii="Arial" w:hAnsi="Arial" w:cs="Arial"/>
        </w:rPr>
        <w:t xml:space="preserve"> Objetivos</w:t>
      </w:r>
      <w:r w:rsidR="00CC6FEC" w:rsidRPr="00EF0B61">
        <w:rPr>
          <w:rFonts w:ascii="Arial" w:hAnsi="Arial" w:cs="Arial"/>
        </w:rPr>
        <w:t xml:space="preserve"> específicos</w:t>
      </w:r>
    </w:p>
    <w:p w14:paraId="5E84E9A1" w14:textId="41D51628" w:rsidR="00084111" w:rsidRPr="00EF0B61" w:rsidRDefault="00084111" w:rsidP="000704BC">
      <w:pPr>
        <w:pStyle w:val="NormalWeb"/>
        <w:numPr>
          <w:ilvl w:val="0"/>
          <w:numId w:val="4"/>
        </w:numPr>
        <w:shd w:val="clear" w:color="auto" w:fill="FFFFFF"/>
        <w:spacing w:line="360" w:lineRule="auto"/>
        <w:jc w:val="both"/>
        <w:rPr>
          <w:rFonts w:ascii="Arial" w:hAnsi="Arial" w:cs="Arial"/>
        </w:rPr>
      </w:pPr>
      <w:r w:rsidRPr="00EF0B61">
        <w:rPr>
          <w:rFonts w:ascii="Arial" w:hAnsi="Arial" w:cs="Arial"/>
        </w:rPr>
        <w:t>Determinar Fumonisinas por un método inmunoenzimatico</w:t>
      </w:r>
    </w:p>
    <w:p w14:paraId="26BFE3DC" w14:textId="6217A8E7" w:rsidR="00084111" w:rsidRPr="00EF0B61" w:rsidRDefault="007F04E1" w:rsidP="000704BC">
      <w:pPr>
        <w:pStyle w:val="NormalWeb"/>
        <w:numPr>
          <w:ilvl w:val="0"/>
          <w:numId w:val="4"/>
        </w:numPr>
        <w:shd w:val="clear" w:color="auto" w:fill="FFFFFF"/>
        <w:spacing w:line="360" w:lineRule="auto"/>
        <w:jc w:val="both"/>
        <w:rPr>
          <w:rFonts w:ascii="Arial" w:hAnsi="Arial" w:cs="Arial"/>
        </w:rPr>
      </w:pPr>
      <w:r>
        <w:rPr>
          <w:rFonts w:ascii="Arial" w:hAnsi="Arial" w:cs="Arial"/>
        </w:rPr>
        <w:t>Determinar la presencia de mohos y hongos productores de fumonisinas</w:t>
      </w:r>
    </w:p>
    <w:p w14:paraId="4AF23DEB" w14:textId="16C1AD23" w:rsidR="003E4213" w:rsidRPr="00EF0B61" w:rsidRDefault="003E4213" w:rsidP="000704BC">
      <w:pPr>
        <w:pStyle w:val="NormalWeb"/>
        <w:numPr>
          <w:ilvl w:val="0"/>
          <w:numId w:val="4"/>
        </w:numPr>
        <w:shd w:val="clear" w:color="auto" w:fill="FFFFFF"/>
        <w:spacing w:line="360" w:lineRule="auto"/>
        <w:jc w:val="both"/>
        <w:rPr>
          <w:rFonts w:ascii="Arial" w:hAnsi="Arial" w:cs="Arial"/>
        </w:rPr>
      </w:pPr>
      <w:r w:rsidRPr="00EF0B61">
        <w:rPr>
          <w:rFonts w:ascii="Arial" w:hAnsi="Arial" w:cs="Arial"/>
        </w:rPr>
        <w:t>Determinar la aw en las muestras</w:t>
      </w:r>
    </w:p>
    <w:p w14:paraId="7050B457" w14:textId="791F31EE" w:rsidR="000C2900" w:rsidRPr="00EF0B61" w:rsidRDefault="00135FC5" w:rsidP="000704BC">
      <w:pPr>
        <w:spacing w:line="360" w:lineRule="auto"/>
        <w:jc w:val="both"/>
        <w:rPr>
          <w:rFonts w:ascii="Arial" w:hAnsi="Arial" w:cs="Arial"/>
          <w:b/>
          <w:sz w:val="24"/>
          <w:szCs w:val="24"/>
        </w:rPr>
      </w:pPr>
      <w:r w:rsidRPr="00EF0B61">
        <w:rPr>
          <w:rFonts w:ascii="Arial" w:hAnsi="Arial" w:cs="Arial"/>
          <w:b/>
          <w:sz w:val="24"/>
          <w:szCs w:val="24"/>
        </w:rPr>
        <w:t>4.</w:t>
      </w:r>
      <w:r w:rsidR="008840B5" w:rsidRPr="00EF0B61">
        <w:rPr>
          <w:rFonts w:ascii="Arial" w:hAnsi="Arial" w:cs="Arial"/>
          <w:b/>
          <w:sz w:val="24"/>
          <w:szCs w:val="24"/>
        </w:rPr>
        <w:t>M</w:t>
      </w:r>
      <w:r w:rsidR="00CC6FEC" w:rsidRPr="00EF0B61">
        <w:rPr>
          <w:rFonts w:ascii="Arial" w:hAnsi="Arial" w:cs="Arial"/>
          <w:b/>
          <w:sz w:val="24"/>
          <w:szCs w:val="24"/>
        </w:rPr>
        <w:t>etodologia</w:t>
      </w:r>
    </w:p>
    <w:p w14:paraId="4AF677B9" w14:textId="7F1753C2" w:rsidR="008840B5" w:rsidRPr="00EF0B61" w:rsidRDefault="00135FC5" w:rsidP="000704BC">
      <w:pPr>
        <w:spacing w:line="360" w:lineRule="auto"/>
        <w:jc w:val="both"/>
        <w:rPr>
          <w:rFonts w:ascii="Arial" w:hAnsi="Arial" w:cs="Arial"/>
          <w:sz w:val="24"/>
          <w:szCs w:val="24"/>
        </w:rPr>
      </w:pPr>
      <w:r w:rsidRPr="00EF0B61">
        <w:rPr>
          <w:rFonts w:ascii="Arial" w:hAnsi="Arial" w:cs="Arial"/>
          <w:sz w:val="24"/>
          <w:szCs w:val="24"/>
        </w:rPr>
        <w:t>4.1Muestreo</w:t>
      </w:r>
    </w:p>
    <w:p w14:paraId="2E0D1A72" w14:textId="4118404B" w:rsidR="008840B5" w:rsidRPr="00EF0B61" w:rsidRDefault="00135FC5" w:rsidP="000704BC">
      <w:pPr>
        <w:spacing w:line="360" w:lineRule="auto"/>
        <w:jc w:val="both"/>
        <w:rPr>
          <w:rFonts w:ascii="Arial" w:hAnsi="Arial" w:cs="Arial"/>
          <w:sz w:val="24"/>
          <w:szCs w:val="24"/>
        </w:rPr>
      </w:pPr>
      <w:r w:rsidRPr="00EF0B61">
        <w:rPr>
          <w:rFonts w:ascii="Arial" w:hAnsi="Arial" w:cs="Arial"/>
          <w:sz w:val="24"/>
          <w:szCs w:val="24"/>
        </w:rPr>
        <w:lastRenderedPageBreak/>
        <w:t xml:space="preserve">Para la colección de las muestras se localizaron los expendios de maíz </w:t>
      </w:r>
      <w:r w:rsidR="007C18F2" w:rsidRPr="00EF0B61">
        <w:rPr>
          <w:rFonts w:ascii="Arial" w:hAnsi="Arial" w:cs="Arial"/>
          <w:sz w:val="24"/>
          <w:szCs w:val="24"/>
        </w:rPr>
        <w:t>más</w:t>
      </w:r>
      <w:r w:rsidRPr="00EF0B61">
        <w:rPr>
          <w:rFonts w:ascii="Arial" w:hAnsi="Arial" w:cs="Arial"/>
          <w:sz w:val="24"/>
          <w:szCs w:val="24"/>
        </w:rPr>
        <w:t xml:space="preserve"> importantes de la ciudad de Tepic, Nayarit, de los cuales s</w:t>
      </w:r>
      <w:r w:rsidR="008840B5" w:rsidRPr="00EF0B61">
        <w:rPr>
          <w:rFonts w:ascii="Arial" w:hAnsi="Arial" w:cs="Arial"/>
          <w:sz w:val="24"/>
          <w:szCs w:val="24"/>
        </w:rPr>
        <w:t xml:space="preserve">e colectaron 15 muestras de </w:t>
      </w:r>
      <w:r w:rsidRPr="00EF0B61">
        <w:rPr>
          <w:rFonts w:ascii="Arial" w:hAnsi="Arial" w:cs="Arial"/>
          <w:sz w:val="24"/>
          <w:szCs w:val="24"/>
        </w:rPr>
        <w:t xml:space="preserve">granos de </w:t>
      </w:r>
      <w:r w:rsidR="008840B5" w:rsidRPr="00EF0B61">
        <w:rPr>
          <w:rFonts w:ascii="Arial" w:hAnsi="Arial" w:cs="Arial"/>
          <w:sz w:val="24"/>
          <w:szCs w:val="24"/>
        </w:rPr>
        <w:t>maíz forrajero y 1</w:t>
      </w:r>
      <w:r w:rsidR="006E79E9" w:rsidRPr="00EF0B61">
        <w:rPr>
          <w:rFonts w:ascii="Arial" w:hAnsi="Arial" w:cs="Arial"/>
          <w:sz w:val="24"/>
          <w:szCs w:val="24"/>
        </w:rPr>
        <w:t xml:space="preserve">6 </w:t>
      </w:r>
      <w:r w:rsidR="00AB2ED2" w:rsidRPr="00EF0B61">
        <w:rPr>
          <w:rFonts w:ascii="Arial" w:hAnsi="Arial" w:cs="Arial"/>
          <w:sz w:val="24"/>
          <w:szCs w:val="24"/>
        </w:rPr>
        <w:t>mue</w:t>
      </w:r>
      <w:r w:rsidRPr="00EF0B61">
        <w:rPr>
          <w:rFonts w:ascii="Arial" w:hAnsi="Arial" w:cs="Arial"/>
          <w:sz w:val="24"/>
          <w:szCs w:val="24"/>
        </w:rPr>
        <w:t xml:space="preserve">stras </w:t>
      </w:r>
      <w:r w:rsidR="00AB2ED2" w:rsidRPr="00EF0B61">
        <w:rPr>
          <w:rFonts w:ascii="Arial" w:hAnsi="Arial" w:cs="Arial"/>
          <w:sz w:val="24"/>
          <w:szCs w:val="24"/>
        </w:rPr>
        <w:t xml:space="preserve">de consumo </w:t>
      </w:r>
      <w:r w:rsidRPr="00EF0B61">
        <w:rPr>
          <w:rFonts w:ascii="Arial" w:hAnsi="Arial" w:cs="Arial"/>
          <w:sz w:val="24"/>
          <w:szCs w:val="24"/>
        </w:rPr>
        <w:t xml:space="preserve">humano, las cuales fueron transportadas al laboratorio en bolsas cerradas para su posterior análisis. </w:t>
      </w:r>
    </w:p>
    <w:p w14:paraId="2CDE4CC0" w14:textId="252C853A" w:rsidR="005B7EA8" w:rsidRPr="00EF0B61" w:rsidRDefault="00135FC5" w:rsidP="000704BC">
      <w:pPr>
        <w:spacing w:line="360" w:lineRule="auto"/>
        <w:jc w:val="both"/>
        <w:rPr>
          <w:rFonts w:ascii="Arial" w:hAnsi="Arial" w:cs="Arial"/>
          <w:sz w:val="24"/>
          <w:szCs w:val="24"/>
        </w:rPr>
      </w:pPr>
      <w:r w:rsidRPr="00EF0B61">
        <w:rPr>
          <w:rFonts w:ascii="Arial" w:hAnsi="Arial" w:cs="Arial"/>
          <w:sz w:val="24"/>
          <w:szCs w:val="24"/>
        </w:rPr>
        <w:t xml:space="preserve">4.2 </w:t>
      </w:r>
      <w:r w:rsidR="005B7EA8" w:rsidRPr="00EF0B61">
        <w:rPr>
          <w:rFonts w:ascii="Arial" w:hAnsi="Arial" w:cs="Arial"/>
          <w:sz w:val="24"/>
          <w:szCs w:val="24"/>
        </w:rPr>
        <w:t>Determinación de Fumonisinas</w:t>
      </w:r>
    </w:p>
    <w:p w14:paraId="6214784A" w14:textId="58D38C36" w:rsidR="006E79E9" w:rsidRPr="00EF0B61" w:rsidRDefault="00F103C3" w:rsidP="000704BC">
      <w:pPr>
        <w:spacing w:line="360" w:lineRule="auto"/>
        <w:jc w:val="both"/>
        <w:rPr>
          <w:rFonts w:ascii="Arial" w:hAnsi="Arial" w:cs="Arial"/>
          <w:sz w:val="24"/>
          <w:szCs w:val="24"/>
        </w:rPr>
      </w:pPr>
      <w:r w:rsidRPr="00EF0B61">
        <w:rPr>
          <w:rFonts w:ascii="Arial" w:hAnsi="Arial" w:cs="Arial"/>
          <w:sz w:val="24"/>
          <w:szCs w:val="24"/>
        </w:rPr>
        <w:t xml:space="preserve"> </w:t>
      </w:r>
      <w:r w:rsidR="006E79E9" w:rsidRPr="00EF0B61">
        <w:rPr>
          <w:rFonts w:ascii="Arial" w:hAnsi="Arial" w:cs="Arial"/>
          <w:sz w:val="24"/>
          <w:szCs w:val="24"/>
        </w:rPr>
        <w:t>La determina</w:t>
      </w:r>
      <w:r w:rsidR="00D71E05" w:rsidRPr="00EF0B61">
        <w:rPr>
          <w:rFonts w:ascii="Arial" w:hAnsi="Arial" w:cs="Arial"/>
          <w:sz w:val="24"/>
          <w:szCs w:val="24"/>
        </w:rPr>
        <w:t xml:space="preserve">ción de Fumonisinas se </w:t>
      </w:r>
      <w:r w:rsidR="005E3869" w:rsidRPr="00EF0B61">
        <w:rPr>
          <w:rFonts w:ascii="Arial" w:hAnsi="Arial" w:cs="Arial"/>
          <w:sz w:val="24"/>
          <w:szCs w:val="24"/>
        </w:rPr>
        <w:t>realizó</w:t>
      </w:r>
      <w:r w:rsidR="006E79E9" w:rsidRPr="00EF0B61">
        <w:rPr>
          <w:rFonts w:ascii="Arial" w:hAnsi="Arial" w:cs="Arial"/>
          <w:sz w:val="24"/>
          <w:szCs w:val="24"/>
        </w:rPr>
        <w:t xml:space="preserve"> con un kit comercial (RIDASCREEN®FAST Fumo</w:t>
      </w:r>
      <w:r w:rsidR="00084111" w:rsidRPr="00EF0B61">
        <w:rPr>
          <w:rFonts w:ascii="Arial" w:hAnsi="Arial" w:cs="Arial"/>
          <w:sz w:val="24"/>
          <w:szCs w:val="24"/>
        </w:rPr>
        <w:t>nisin R-Biopharm) para</w:t>
      </w:r>
      <w:r w:rsidR="00135FC5" w:rsidRPr="00EF0B61">
        <w:rPr>
          <w:rFonts w:ascii="Arial" w:hAnsi="Arial" w:cs="Arial"/>
          <w:sz w:val="24"/>
          <w:szCs w:val="24"/>
        </w:rPr>
        <w:t xml:space="preserve"> </w:t>
      </w:r>
      <w:r w:rsidR="007C18F2" w:rsidRPr="00EF0B61">
        <w:rPr>
          <w:rFonts w:ascii="Arial" w:hAnsi="Arial" w:cs="Arial"/>
          <w:sz w:val="24"/>
          <w:szCs w:val="24"/>
        </w:rPr>
        <w:t>la determinación</w:t>
      </w:r>
      <w:r w:rsidR="00135FC5" w:rsidRPr="00EF0B61">
        <w:rPr>
          <w:rFonts w:ascii="Arial" w:hAnsi="Arial" w:cs="Arial"/>
          <w:sz w:val="24"/>
          <w:szCs w:val="24"/>
        </w:rPr>
        <w:t xml:space="preserve"> de fumon</w:t>
      </w:r>
      <w:r w:rsidR="00494A0A" w:rsidRPr="00EF0B61">
        <w:rPr>
          <w:rFonts w:ascii="Arial" w:hAnsi="Arial" w:cs="Arial"/>
          <w:sz w:val="24"/>
          <w:szCs w:val="24"/>
        </w:rPr>
        <w:t xml:space="preserve">isinas </w:t>
      </w:r>
      <w:r w:rsidR="007C18F2" w:rsidRPr="00EF0B61">
        <w:rPr>
          <w:rFonts w:ascii="Arial" w:hAnsi="Arial" w:cs="Arial"/>
          <w:sz w:val="24"/>
          <w:szCs w:val="24"/>
        </w:rPr>
        <w:t>totales.</w:t>
      </w:r>
      <w:r w:rsidR="00494A0A" w:rsidRPr="00EF0B61">
        <w:rPr>
          <w:rFonts w:ascii="Arial" w:hAnsi="Arial" w:cs="Arial"/>
          <w:sz w:val="24"/>
          <w:szCs w:val="24"/>
        </w:rPr>
        <w:t xml:space="preserve"> se pesaron 5g</w:t>
      </w:r>
      <w:r w:rsidR="00135FC5" w:rsidRPr="00EF0B61">
        <w:rPr>
          <w:rFonts w:ascii="Arial" w:hAnsi="Arial" w:cs="Arial"/>
          <w:sz w:val="24"/>
          <w:szCs w:val="24"/>
        </w:rPr>
        <w:t xml:space="preserve"> de la muestra de maíz se le agrego 25 m</w:t>
      </w:r>
      <w:r w:rsidR="00494A0A" w:rsidRPr="00EF0B61">
        <w:rPr>
          <w:rFonts w:ascii="Arial" w:hAnsi="Arial" w:cs="Arial"/>
          <w:sz w:val="24"/>
          <w:szCs w:val="24"/>
        </w:rPr>
        <w:t>l de metanol al 70</w:t>
      </w:r>
      <w:r w:rsidR="007C18F2" w:rsidRPr="00EF0B61">
        <w:rPr>
          <w:rFonts w:ascii="Arial" w:hAnsi="Arial" w:cs="Arial"/>
          <w:sz w:val="24"/>
          <w:szCs w:val="24"/>
        </w:rPr>
        <w:t>%,</w:t>
      </w:r>
      <w:r w:rsidR="00494A0A" w:rsidRPr="00EF0B61">
        <w:rPr>
          <w:rFonts w:ascii="Arial" w:hAnsi="Arial" w:cs="Arial"/>
          <w:sz w:val="24"/>
          <w:szCs w:val="24"/>
        </w:rPr>
        <w:t xml:space="preserve"> se licuo</w:t>
      </w:r>
      <w:r w:rsidR="00135FC5" w:rsidRPr="00EF0B61">
        <w:rPr>
          <w:rFonts w:ascii="Arial" w:hAnsi="Arial" w:cs="Arial"/>
          <w:sz w:val="24"/>
          <w:szCs w:val="24"/>
        </w:rPr>
        <w:t xml:space="preserve"> por 2 min, </w:t>
      </w:r>
      <w:r w:rsidR="00494A0A" w:rsidRPr="00EF0B61">
        <w:rPr>
          <w:rFonts w:ascii="Arial" w:hAnsi="Arial" w:cs="Arial"/>
          <w:sz w:val="24"/>
          <w:szCs w:val="24"/>
        </w:rPr>
        <w:t xml:space="preserve">posteriormente se </w:t>
      </w:r>
      <w:r w:rsidR="007C18F2" w:rsidRPr="00EF0B61">
        <w:rPr>
          <w:rFonts w:ascii="Arial" w:hAnsi="Arial" w:cs="Arial"/>
          <w:sz w:val="24"/>
          <w:szCs w:val="24"/>
        </w:rPr>
        <w:t>filtró</w:t>
      </w:r>
      <w:r w:rsidR="00494A0A" w:rsidRPr="00EF0B61">
        <w:rPr>
          <w:rFonts w:ascii="Arial" w:hAnsi="Arial" w:cs="Arial"/>
          <w:sz w:val="24"/>
          <w:szCs w:val="24"/>
        </w:rPr>
        <w:t xml:space="preserve"> la muestra </w:t>
      </w:r>
      <w:r w:rsidR="00135FC5" w:rsidRPr="00EF0B61">
        <w:rPr>
          <w:rFonts w:ascii="Arial" w:hAnsi="Arial" w:cs="Arial"/>
          <w:sz w:val="24"/>
          <w:szCs w:val="24"/>
        </w:rPr>
        <w:t xml:space="preserve">través de un papel de filtro Whatman número 1, a </w:t>
      </w:r>
      <w:r w:rsidR="00494A0A" w:rsidRPr="00EF0B61">
        <w:rPr>
          <w:rFonts w:ascii="Arial" w:hAnsi="Arial" w:cs="Arial"/>
          <w:sz w:val="24"/>
          <w:szCs w:val="24"/>
        </w:rPr>
        <w:t xml:space="preserve">partir de este filtrado se </w:t>
      </w:r>
      <w:r w:rsidR="007C18F2" w:rsidRPr="00EF0B61">
        <w:rPr>
          <w:rFonts w:ascii="Arial" w:hAnsi="Arial" w:cs="Arial"/>
          <w:sz w:val="24"/>
          <w:szCs w:val="24"/>
        </w:rPr>
        <w:t>realizó</w:t>
      </w:r>
      <w:r w:rsidR="00494A0A" w:rsidRPr="00EF0B61">
        <w:rPr>
          <w:rFonts w:ascii="Arial" w:hAnsi="Arial" w:cs="Arial"/>
          <w:sz w:val="24"/>
          <w:szCs w:val="24"/>
        </w:rPr>
        <w:t xml:space="preserve"> </w:t>
      </w:r>
      <w:r w:rsidR="00135FC5" w:rsidRPr="00EF0B61">
        <w:rPr>
          <w:rFonts w:ascii="Arial" w:hAnsi="Arial" w:cs="Arial"/>
          <w:sz w:val="24"/>
          <w:szCs w:val="24"/>
        </w:rPr>
        <w:t>una d</w:t>
      </w:r>
      <w:r w:rsidR="00494A0A" w:rsidRPr="00EF0B61">
        <w:rPr>
          <w:rFonts w:ascii="Arial" w:hAnsi="Arial" w:cs="Arial"/>
          <w:sz w:val="24"/>
          <w:szCs w:val="24"/>
        </w:rPr>
        <w:t xml:space="preserve">ilución 1:14 con agua destilada, el filtrado obtenido se </w:t>
      </w:r>
      <w:r w:rsidR="007C18F2" w:rsidRPr="00EF0B61">
        <w:rPr>
          <w:rFonts w:ascii="Arial" w:hAnsi="Arial" w:cs="Arial"/>
          <w:sz w:val="24"/>
          <w:szCs w:val="24"/>
        </w:rPr>
        <w:t>utilizó</w:t>
      </w:r>
      <w:r w:rsidR="00494A0A" w:rsidRPr="00EF0B61">
        <w:rPr>
          <w:rFonts w:ascii="Arial" w:hAnsi="Arial" w:cs="Arial"/>
          <w:sz w:val="24"/>
          <w:szCs w:val="24"/>
        </w:rPr>
        <w:t xml:space="preserve"> para el análisis de fumonisinas correspondiente. Para </w:t>
      </w:r>
      <w:r w:rsidR="00084111" w:rsidRPr="00EF0B61">
        <w:rPr>
          <w:rFonts w:ascii="Arial" w:hAnsi="Arial" w:cs="Arial"/>
          <w:sz w:val="24"/>
          <w:szCs w:val="24"/>
        </w:rPr>
        <w:t>lo cual s</w:t>
      </w:r>
      <w:r w:rsidR="00D71E05" w:rsidRPr="00EF0B61">
        <w:rPr>
          <w:rFonts w:ascii="Arial" w:hAnsi="Arial" w:cs="Arial"/>
          <w:sz w:val="24"/>
          <w:szCs w:val="24"/>
        </w:rPr>
        <w:t>e agregaro</w:t>
      </w:r>
      <w:r w:rsidR="006E79E9" w:rsidRPr="00EF0B61">
        <w:rPr>
          <w:rFonts w:ascii="Arial" w:hAnsi="Arial" w:cs="Arial"/>
          <w:sz w:val="24"/>
          <w:szCs w:val="24"/>
        </w:rPr>
        <w:t>n 50 μL de los estándares y de las muestras a analizar a los pocillos de la p</w:t>
      </w:r>
      <w:r w:rsidR="00D71E05" w:rsidRPr="00EF0B61">
        <w:rPr>
          <w:rFonts w:ascii="Arial" w:hAnsi="Arial" w:cs="Arial"/>
          <w:sz w:val="24"/>
          <w:szCs w:val="24"/>
        </w:rPr>
        <w:t>laca, enseguida se agregaro</w:t>
      </w:r>
      <w:r w:rsidR="006E79E9" w:rsidRPr="00EF0B61">
        <w:rPr>
          <w:rFonts w:ascii="Arial" w:hAnsi="Arial" w:cs="Arial"/>
          <w:sz w:val="24"/>
          <w:szCs w:val="24"/>
        </w:rPr>
        <w:t>n 50 μL del conjugado fumonisina -enzima</w:t>
      </w:r>
      <w:r w:rsidR="006E79E9" w:rsidRPr="00EF0B61">
        <w:rPr>
          <w:rFonts w:ascii="Arial" w:hAnsi="Arial" w:cs="Arial"/>
          <w:b/>
          <w:sz w:val="24"/>
          <w:szCs w:val="24"/>
        </w:rPr>
        <w:t xml:space="preserve"> </w:t>
      </w:r>
      <w:r w:rsidR="006E79E9" w:rsidRPr="00EF0B61">
        <w:rPr>
          <w:rFonts w:ascii="Arial" w:hAnsi="Arial" w:cs="Arial"/>
          <w:sz w:val="24"/>
          <w:szCs w:val="24"/>
        </w:rPr>
        <w:t>y 50 μL del anticue</w:t>
      </w:r>
      <w:r w:rsidR="00D71E05" w:rsidRPr="00EF0B61">
        <w:rPr>
          <w:rFonts w:ascii="Arial" w:hAnsi="Arial" w:cs="Arial"/>
          <w:sz w:val="24"/>
          <w:szCs w:val="24"/>
        </w:rPr>
        <w:t xml:space="preserve">rpo anti-fumonisina, se </w:t>
      </w:r>
      <w:r w:rsidR="005E3869" w:rsidRPr="00EF0B61">
        <w:rPr>
          <w:rFonts w:ascii="Arial" w:hAnsi="Arial" w:cs="Arial"/>
          <w:sz w:val="24"/>
          <w:szCs w:val="24"/>
        </w:rPr>
        <w:t>mezclaron e</w:t>
      </w:r>
      <w:r w:rsidR="00D71E05" w:rsidRPr="00EF0B61">
        <w:rPr>
          <w:rFonts w:ascii="Arial" w:hAnsi="Arial" w:cs="Arial"/>
          <w:sz w:val="24"/>
          <w:szCs w:val="24"/>
        </w:rPr>
        <w:t xml:space="preserve"> incubaron </w:t>
      </w:r>
      <w:r w:rsidR="006E79E9" w:rsidRPr="00EF0B61">
        <w:rPr>
          <w:rFonts w:ascii="Arial" w:hAnsi="Arial" w:cs="Arial"/>
          <w:sz w:val="24"/>
          <w:szCs w:val="24"/>
        </w:rPr>
        <w:t>durante 10 minutos a temperatura ambiente.</w:t>
      </w:r>
      <w:r w:rsidR="006E79E9" w:rsidRPr="00EF0B61">
        <w:rPr>
          <w:rFonts w:ascii="Arial" w:hAnsi="Arial" w:cs="Arial"/>
          <w:b/>
          <w:sz w:val="24"/>
          <w:szCs w:val="24"/>
        </w:rPr>
        <w:t xml:space="preserve"> </w:t>
      </w:r>
      <w:r w:rsidR="00D71E05" w:rsidRPr="00EF0B61">
        <w:rPr>
          <w:rFonts w:ascii="Arial" w:hAnsi="Arial" w:cs="Arial"/>
          <w:sz w:val="24"/>
          <w:szCs w:val="24"/>
        </w:rPr>
        <w:t>A continuación, se vaciaro</w:t>
      </w:r>
      <w:r w:rsidR="006E79E9" w:rsidRPr="00EF0B61">
        <w:rPr>
          <w:rFonts w:ascii="Arial" w:hAnsi="Arial" w:cs="Arial"/>
          <w:sz w:val="24"/>
          <w:szCs w:val="24"/>
        </w:rPr>
        <w:t>n sobre un papel</w:t>
      </w:r>
      <w:r w:rsidR="00D71E05" w:rsidRPr="00EF0B61">
        <w:rPr>
          <w:rFonts w:ascii="Arial" w:hAnsi="Arial" w:cs="Arial"/>
          <w:sz w:val="24"/>
          <w:szCs w:val="24"/>
        </w:rPr>
        <w:t xml:space="preserve"> absorbente limpio y se realizaro</w:t>
      </w:r>
      <w:r w:rsidR="006E79E9" w:rsidRPr="00EF0B61">
        <w:rPr>
          <w:rFonts w:ascii="Arial" w:hAnsi="Arial" w:cs="Arial"/>
          <w:sz w:val="24"/>
          <w:szCs w:val="24"/>
        </w:rPr>
        <w:t>n tres lavados adicionando 250 μL del tampón de lavado a cad</w:t>
      </w:r>
      <w:r w:rsidR="00D71E05" w:rsidRPr="00EF0B61">
        <w:rPr>
          <w:rFonts w:ascii="Arial" w:hAnsi="Arial" w:cs="Arial"/>
          <w:sz w:val="24"/>
          <w:szCs w:val="24"/>
        </w:rPr>
        <w:t>a pocillo. Enseguida se agregaro</w:t>
      </w:r>
      <w:r w:rsidR="006E79E9" w:rsidRPr="00EF0B61">
        <w:rPr>
          <w:rFonts w:ascii="Arial" w:hAnsi="Arial" w:cs="Arial"/>
          <w:sz w:val="24"/>
          <w:szCs w:val="24"/>
        </w:rPr>
        <w:t>n 100 μL del substrato/cromóg</w:t>
      </w:r>
      <w:r w:rsidR="00D71E05" w:rsidRPr="00EF0B61">
        <w:rPr>
          <w:rFonts w:ascii="Arial" w:hAnsi="Arial" w:cs="Arial"/>
          <w:sz w:val="24"/>
          <w:szCs w:val="24"/>
        </w:rPr>
        <w:t xml:space="preserve">eno a cada pocillo y se </w:t>
      </w:r>
      <w:r w:rsidR="005E3869" w:rsidRPr="00EF0B61">
        <w:rPr>
          <w:rFonts w:ascii="Arial" w:hAnsi="Arial" w:cs="Arial"/>
          <w:sz w:val="24"/>
          <w:szCs w:val="24"/>
        </w:rPr>
        <w:t>mezclaron e</w:t>
      </w:r>
      <w:r w:rsidR="00D71E05" w:rsidRPr="00EF0B61">
        <w:rPr>
          <w:rFonts w:ascii="Arial" w:hAnsi="Arial" w:cs="Arial"/>
          <w:sz w:val="24"/>
          <w:szCs w:val="24"/>
        </w:rPr>
        <w:t xml:space="preserve"> incubaron </w:t>
      </w:r>
      <w:r w:rsidR="005E3869" w:rsidRPr="00EF0B61">
        <w:rPr>
          <w:rFonts w:ascii="Arial" w:hAnsi="Arial" w:cs="Arial"/>
          <w:sz w:val="24"/>
          <w:szCs w:val="24"/>
        </w:rPr>
        <w:t>por 5</w:t>
      </w:r>
      <w:r w:rsidR="006E79E9" w:rsidRPr="00EF0B61">
        <w:rPr>
          <w:rFonts w:ascii="Arial" w:hAnsi="Arial" w:cs="Arial"/>
          <w:sz w:val="24"/>
          <w:szCs w:val="24"/>
        </w:rPr>
        <w:t xml:space="preserve"> minutos en la oscuridad a temperatura ambiente. Finalmente se </w:t>
      </w:r>
      <w:r w:rsidR="00D71E05" w:rsidRPr="00EF0B61">
        <w:rPr>
          <w:rFonts w:ascii="Arial" w:hAnsi="Arial" w:cs="Arial"/>
          <w:sz w:val="24"/>
          <w:szCs w:val="24"/>
        </w:rPr>
        <w:t>agregaro</w:t>
      </w:r>
      <w:r w:rsidR="006E79E9" w:rsidRPr="00EF0B61">
        <w:rPr>
          <w:rFonts w:ascii="Arial" w:hAnsi="Arial" w:cs="Arial"/>
          <w:sz w:val="24"/>
          <w:szCs w:val="24"/>
        </w:rPr>
        <w:t xml:space="preserve">n 100 μL de la solución stop a cada pocillo mezclando suavemente para posteriormente medir la absorbancia a 450 nm en un lector de </w:t>
      </w:r>
      <w:r w:rsidR="005E3869" w:rsidRPr="00EF0B61">
        <w:rPr>
          <w:rFonts w:ascii="Arial" w:hAnsi="Arial" w:cs="Arial"/>
          <w:sz w:val="24"/>
          <w:szCs w:val="24"/>
        </w:rPr>
        <w:t>micro placa</w:t>
      </w:r>
      <w:r w:rsidR="006E79E9" w:rsidRPr="00EF0B61">
        <w:rPr>
          <w:rFonts w:ascii="Arial" w:hAnsi="Arial" w:cs="Arial"/>
          <w:sz w:val="24"/>
          <w:szCs w:val="24"/>
        </w:rPr>
        <w:t xml:space="preserve"> (EPOCH).</w:t>
      </w:r>
    </w:p>
    <w:p w14:paraId="323D1024" w14:textId="014B3240" w:rsidR="005B7EA8" w:rsidRPr="00EF0B61" w:rsidRDefault="00494A0A" w:rsidP="000704BC">
      <w:pPr>
        <w:spacing w:line="360" w:lineRule="auto"/>
        <w:jc w:val="both"/>
        <w:rPr>
          <w:rFonts w:ascii="Arial" w:hAnsi="Arial" w:cs="Arial"/>
          <w:sz w:val="24"/>
          <w:szCs w:val="24"/>
        </w:rPr>
      </w:pPr>
      <w:r w:rsidRPr="00EF0B61">
        <w:rPr>
          <w:rFonts w:ascii="Arial" w:hAnsi="Arial" w:cs="Arial"/>
          <w:sz w:val="24"/>
          <w:szCs w:val="24"/>
        </w:rPr>
        <w:t>4.3</w:t>
      </w:r>
      <w:r w:rsidR="00CC6FEC">
        <w:rPr>
          <w:rFonts w:ascii="Arial" w:hAnsi="Arial" w:cs="Arial"/>
          <w:sz w:val="24"/>
          <w:szCs w:val="24"/>
        </w:rPr>
        <w:t xml:space="preserve"> Determinación de mohos y hongos productores de fumonisinas</w:t>
      </w:r>
    </w:p>
    <w:p w14:paraId="7D753631" w14:textId="24AF81B0" w:rsidR="000C7760" w:rsidRPr="00EF0B61" w:rsidRDefault="007368BC" w:rsidP="000704BC">
      <w:pPr>
        <w:spacing w:line="360" w:lineRule="auto"/>
        <w:jc w:val="both"/>
        <w:rPr>
          <w:rFonts w:ascii="Arial" w:hAnsi="Arial" w:cs="Arial"/>
          <w:sz w:val="24"/>
          <w:szCs w:val="24"/>
        </w:rPr>
      </w:pPr>
      <w:r w:rsidRPr="00EF0B61">
        <w:rPr>
          <w:rFonts w:ascii="Arial" w:hAnsi="Arial" w:cs="Arial"/>
          <w:sz w:val="24"/>
          <w:szCs w:val="24"/>
        </w:rPr>
        <w:t xml:space="preserve">Se </w:t>
      </w:r>
      <w:r w:rsidR="00CC6FEC" w:rsidRPr="00EF0B61">
        <w:rPr>
          <w:rFonts w:ascii="Arial" w:hAnsi="Arial" w:cs="Arial"/>
          <w:sz w:val="24"/>
          <w:szCs w:val="24"/>
        </w:rPr>
        <w:t>realizará</w:t>
      </w:r>
      <w:r w:rsidR="00494A0A" w:rsidRPr="00EF0B61">
        <w:rPr>
          <w:rFonts w:ascii="Arial" w:hAnsi="Arial" w:cs="Arial"/>
          <w:sz w:val="24"/>
          <w:szCs w:val="24"/>
        </w:rPr>
        <w:t xml:space="preserve"> </w:t>
      </w:r>
      <w:r w:rsidRPr="00EF0B61">
        <w:rPr>
          <w:rFonts w:ascii="Arial" w:hAnsi="Arial" w:cs="Arial"/>
          <w:sz w:val="24"/>
          <w:szCs w:val="24"/>
        </w:rPr>
        <w:t xml:space="preserve">conforme </w:t>
      </w:r>
      <w:r w:rsidR="00494A0A" w:rsidRPr="00EF0B61">
        <w:rPr>
          <w:rFonts w:ascii="Arial" w:hAnsi="Arial" w:cs="Arial"/>
          <w:sz w:val="24"/>
          <w:szCs w:val="24"/>
        </w:rPr>
        <w:t xml:space="preserve">a NOM-111-SSA1-1994., bienes y servicios. </w:t>
      </w:r>
      <w:r w:rsidR="00CC6FEC" w:rsidRPr="00EF0B61">
        <w:rPr>
          <w:rFonts w:ascii="Arial" w:hAnsi="Arial" w:cs="Arial"/>
          <w:sz w:val="24"/>
          <w:szCs w:val="24"/>
        </w:rPr>
        <w:t>Método</w:t>
      </w:r>
      <w:r w:rsidR="00494A0A" w:rsidRPr="00EF0B61">
        <w:rPr>
          <w:rFonts w:ascii="Arial" w:hAnsi="Arial" w:cs="Arial"/>
          <w:sz w:val="24"/>
          <w:szCs w:val="24"/>
        </w:rPr>
        <w:t xml:space="preserve"> para la cuenta de mohos y levaduras en </w:t>
      </w:r>
      <w:r w:rsidR="00CC6FEC" w:rsidRPr="00EF0B61">
        <w:rPr>
          <w:rFonts w:ascii="Arial" w:hAnsi="Arial" w:cs="Arial"/>
          <w:sz w:val="24"/>
          <w:szCs w:val="24"/>
        </w:rPr>
        <w:t>alimentos, para</w:t>
      </w:r>
      <w:r w:rsidR="00494A0A" w:rsidRPr="00EF0B61">
        <w:rPr>
          <w:rFonts w:ascii="Arial" w:hAnsi="Arial" w:cs="Arial"/>
          <w:sz w:val="24"/>
          <w:szCs w:val="24"/>
        </w:rPr>
        <w:t xml:space="preserve"> lo cual se pesa 10 gr de muestra y se colocan </w:t>
      </w:r>
      <w:r w:rsidRPr="00EF0B61">
        <w:rPr>
          <w:rFonts w:ascii="Arial" w:hAnsi="Arial" w:cs="Arial"/>
          <w:sz w:val="24"/>
          <w:szCs w:val="24"/>
        </w:rPr>
        <w:t xml:space="preserve">en 90ml de solución reguladora de fosfatos, posteriormente se </w:t>
      </w:r>
      <w:r w:rsidR="00494A0A" w:rsidRPr="00EF0B61">
        <w:rPr>
          <w:rFonts w:ascii="Arial" w:hAnsi="Arial" w:cs="Arial"/>
          <w:sz w:val="24"/>
          <w:szCs w:val="24"/>
        </w:rPr>
        <w:t xml:space="preserve">coloca </w:t>
      </w:r>
      <w:r w:rsidRPr="00EF0B61">
        <w:rPr>
          <w:rFonts w:ascii="Arial" w:hAnsi="Arial" w:cs="Arial"/>
          <w:sz w:val="24"/>
          <w:szCs w:val="24"/>
        </w:rPr>
        <w:t xml:space="preserve">por duplicado en cajas Petri 1 ml de la </w:t>
      </w:r>
      <w:r w:rsidR="005E3869" w:rsidRPr="00EF0B61">
        <w:rPr>
          <w:rFonts w:ascii="Arial" w:hAnsi="Arial" w:cs="Arial"/>
          <w:sz w:val="24"/>
          <w:szCs w:val="24"/>
        </w:rPr>
        <w:t>muestra,</w:t>
      </w:r>
      <w:r w:rsidR="00494A0A" w:rsidRPr="00EF0B61">
        <w:rPr>
          <w:rFonts w:ascii="Arial" w:hAnsi="Arial" w:cs="Arial"/>
          <w:sz w:val="24"/>
          <w:szCs w:val="24"/>
        </w:rPr>
        <w:t xml:space="preserve"> y se le agrega </w:t>
      </w:r>
      <w:r w:rsidR="000C7760" w:rsidRPr="00EF0B61">
        <w:rPr>
          <w:rFonts w:ascii="Arial" w:hAnsi="Arial" w:cs="Arial"/>
          <w:sz w:val="24"/>
          <w:szCs w:val="24"/>
        </w:rPr>
        <w:t>agar papa dextr</w:t>
      </w:r>
      <w:r w:rsidR="00494A0A" w:rsidRPr="00EF0B61">
        <w:rPr>
          <w:rFonts w:ascii="Arial" w:hAnsi="Arial" w:cs="Arial"/>
          <w:sz w:val="24"/>
          <w:szCs w:val="24"/>
        </w:rPr>
        <w:t xml:space="preserve">osa acidificado, dichas cajas se </w:t>
      </w:r>
      <w:r w:rsidR="007C18F2" w:rsidRPr="00EF0B61">
        <w:rPr>
          <w:rFonts w:ascii="Arial" w:hAnsi="Arial" w:cs="Arial"/>
          <w:sz w:val="24"/>
          <w:szCs w:val="24"/>
        </w:rPr>
        <w:t>incuban a</w:t>
      </w:r>
      <w:r w:rsidR="000C7760" w:rsidRPr="00EF0B61">
        <w:rPr>
          <w:rFonts w:ascii="Arial" w:hAnsi="Arial" w:cs="Arial"/>
          <w:sz w:val="24"/>
          <w:szCs w:val="24"/>
        </w:rPr>
        <w:t xml:space="preserve"> tem</w:t>
      </w:r>
      <w:r w:rsidR="004822A2" w:rsidRPr="00EF0B61">
        <w:rPr>
          <w:rFonts w:ascii="Arial" w:hAnsi="Arial" w:cs="Arial"/>
          <w:sz w:val="24"/>
          <w:szCs w:val="24"/>
        </w:rPr>
        <w:t>peratura ambiente. Una vez trascurrido</w:t>
      </w:r>
      <w:r w:rsidR="000C7760" w:rsidRPr="00EF0B61">
        <w:rPr>
          <w:rFonts w:ascii="Arial" w:hAnsi="Arial" w:cs="Arial"/>
          <w:sz w:val="24"/>
          <w:szCs w:val="24"/>
        </w:rPr>
        <w:t xml:space="preserve"> el tiempo de incubación se </w:t>
      </w:r>
      <w:r w:rsidR="00494A0A" w:rsidRPr="00EF0B61">
        <w:rPr>
          <w:rFonts w:ascii="Arial" w:hAnsi="Arial" w:cs="Arial"/>
          <w:sz w:val="24"/>
          <w:szCs w:val="24"/>
        </w:rPr>
        <w:t>realiza</w:t>
      </w:r>
      <w:r w:rsidR="000C7760" w:rsidRPr="00EF0B61">
        <w:rPr>
          <w:rFonts w:ascii="Arial" w:hAnsi="Arial" w:cs="Arial"/>
          <w:sz w:val="24"/>
          <w:szCs w:val="24"/>
        </w:rPr>
        <w:t xml:space="preserve"> una resiembra en agar rosa de </w:t>
      </w:r>
      <w:r w:rsidR="00494A0A" w:rsidRPr="00EF0B61">
        <w:rPr>
          <w:rFonts w:ascii="Arial" w:hAnsi="Arial" w:cs="Arial"/>
          <w:sz w:val="24"/>
          <w:szCs w:val="24"/>
        </w:rPr>
        <w:t>bengala, y posteriormente se procede a</w:t>
      </w:r>
      <w:r w:rsidR="004822A2" w:rsidRPr="00EF0B61">
        <w:rPr>
          <w:rFonts w:ascii="Arial" w:hAnsi="Arial" w:cs="Arial"/>
          <w:sz w:val="24"/>
          <w:szCs w:val="24"/>
        </w:rPr>
        <w:t xml:space="preserve"> la identificación </w:t>
      </w:r>
      <w:r w:rsidR="00CC6FEC" w:rsidRPr="00EF0B61">
        <w:rPr>
          <w:rFonts w:ascii="Arial" w:hAnsi="Arial" w:cs="Arial"/>
          <w:sz w:val="24"/>
          <w:szCs w:val="24"/>
        </w:rPr>
        <w:t>microscópica</w:t>
      </w:r>
      <w:r w:rsidR="004822A2" w:rsidRPr="00EF0B61">
        <w:rPr>
          <w:rFonts w:ascii="Arial" w:hAnsi="Arial" w:cs="Arial"/>
          <w:sz w:val="24"/>
          <w:szCs w:val="24"/>
        </w:rPr>
        <w:t xml:space="preserve"> del </w:t>
      </w:r>
      <w:r w:rsidR="007C18F2" w:rsidRPr="00EF0B61">
        <w:rPr>
          <w:rFonts w:ascii="Arial" w:hAnsi="Arial" w:cs="Arial"/>
          <w:sz w:val="24"/>
          <w:szCs w:val="24"/>
        </w:rPr>
        <w:t>hongo.</w:t>
      </w:r>
    </w:p>
    <w:p w14:paraId="30B10BB3" w14:textId="0EAF488A" w:rsidR="004822A2" w:rsidRPr="00EF0B61" w:rsidRDefault="00494A0A" w:rsidP="000704BC">
      <w:pPr>
        <w:spacing w:line="360" w:lineRule="auto"/>
        <w:jc w:val="both"/>
        <w:rPr>
          <w:rFonts w:ascii="Arial" w:hAnsi="Arial" w:cs="Arial"/>
          <w:sz w:val="24"/>
          <w:szCs w:val="24"/>
        </w:rPr>
      </w:pPr>
      <w:r w:rsidRPr="00EF0B61">
        <w:rPr>
          <w:rFonts w:ascii="Arial" w:hAnsi="Arial" w:cs="Arial"/>
          <w:sz w:val="24"/>
          <w:szCs w:val="24"/>
        </w:rPr>
        <w:t>4.4</w:t>
      </w:r>
      <w:r w:rsidR="005E3869" w:rsidRPr="00EF0B61">
        <w:rPr>
          <w:rFonts w:ascii="Arial" w:hAnsi="Arial" w:cs="Arial"/>
          <w:sz w:val="24"/>
          <w:szCs w:val="24"/>
        </w:rPr>
        <w:t>Determinación</w:t>
      </w:r>
      <w:r w:rsidR="00CC6FEC">
        <w:rPr>
          <w:rFonts w:ascii="Arial" w:hAnsi="Arial" w:cs="Arial"/>
          <w:sz w:val="24"/>
          <w:szCs w:val="24"/>
        </w:rPr>
        <w:t xml:space="preserve"> de actividad de agua</w:t>
      </w:r>
    </w:p>
    <w:p w14:paraId="2891155E" w14:textId="2D1F6079" w:rsidR="00CC6FEC" w:rsidRPr="00CC6FEC" w:rsidRDefault="004822A2" w:rsidP="000704BC">
      <w:pPr>
        <w:spacing w:line="360" w:lineRule="auto"/>
        <w:jc w:val="both"/>
        <w:rPr>
          <w:rFonts w:ascii="Arial" w:hAnsi="Arial" w:cs="Arial"/>
          <w:sz w:val="24"/>
          <w:szCs w:val="24"/>
        </w:rPr>
      </w:pPr>
      <w:r w:rsidRPr="00EF0B61">
        <w:rPr>
          <w:rFonts w:ascii="Arial" w:hAnsi="Arial" w:cs="Arial"/>
          <w:sz w:val="24"/>
          <w:szCs w:val="24"/>
        </w:rPr>
        <w:lastRenderedPageBreak/>
        <w:t xml:space="preserve">Se </w:t>
      </w:r>
      <w:r w:rsidR="005E3869" w:rsidRPr="00EF0B61">
        <w:rPr>
          <w:rFonts w:ascii="Arial" w:hAnsi="Arial" w:cs="Arial"/>
          <w:sz w:val="24"/>
          <w:szCs w:val="24"/>
        </w:rPr>
        <w:t>llevará</w:t>
      </w:r>
      <w:r w:rsidRPr="00EF0B61">
        <w:rPr>
          <w:rFonts w:ascii="Arial" w:hAnsi="Arial" w:cs="Arial"/>
          <w:sz w:val="24"/>
          <w:szCs w:val="24"/>
        </w:rPr>
        <w:t xml:space="preserve"> </w:t>
      </w:r>
      <w:r w:rsidR="005E3869" w:rsidRPr="00EF0B61">
        <w:rPr>
          <w:rFonts w:ascii="Arial" w:hAnsi="Arial" w:cs="Arial"/>
          <w:sz w:val="24"/>
          <w:szCs w:val="24"/>
        </w:rPr>
        <w:t>a cabo</w:t>
      </w:r>
      <w:r w:rsidRPr="00EF0B61">
        <w:rPr>
          <w:rFonts w:ascii="Arial" w:hAnsi="Arial" w:cs="Arial"/>
          <w:sz w:val="24"/>
          <w:szCs w:val="24"/>
        </w:rPr>
        <w:t xml:space="preserve"> en base a la norma NMX-FF-034/2-SCFI-2003</w:t>
      </w:r>
      <w:r w:rsidR="00CC6FEC" w:rsidRPr="00EF0B61">
        <w:rPr>
          <w:rFonts w:ascii="Arial" w:hAnsi="Arial" w:cs="Arial"/>
          <w:sz w:val="24"/>
          <w:szCs w:val="24"/>
        </w:rPr>
        <w:t>.</w:t>
      </w:r>
      <w:r w:rsidR="00CC6FEC" w:rsidRPr="00CC6FEC">
        <w:rPr>
          <w:rFonts w:ascii="Arial" w:hAnsi="Arial" w:cs="Arial"/>
          <w:sz w:val="24"/>
          <w:szCs w:val="24"/>
        </w:rPr>
        <w:t>Productos alimenticios no industrializados para</w:t>
      </w:r>
      <w:r w:rsidR="00CC6FEC">
        <w:rPr>
          <w:rFonts w:ascii="Arial" w:hAnsi="Arial" w:cs="Arial"/>
          <w:sz w:val="24"/>
          <w:szCs w:val="24"/>
        </w:rPr>
        <w:t xml:space="preserve"> </w:t>
      </w:r>
      <w:r w:rsidR="00CC6FEC" w:rsidRPr="00CC6FEC">
        <w:rPr>
          <w:rFonts w:ascii="Arial" w:hAnsi="Arial" w:cs="Arial"/>
          <w:sz w:val="24"/>
          <w:szCs w:val="24"/>
        </w:rPr>
        <w:t>uso humano - cereales - maíz amarillo para</w:t>
      </w:r>
    </w:p>
    <w:p w14:paraId="6FCA9AF2" w14:textId="401619A5" w:rsidR="004822A2" w:rsidRPr="00EF0B61" w:rsidRDefault="00CC6FEC" w:rsidP="000704BC">
      <w:pPr>
        <w:spacing w:line="360" w:lineRule="auto"/>
        <w:jc w:val="both"/>
        <w:rPr>
          <w:rFonts w:ascii="Arial" w:hAnsi="Arial" w:cs="Arial"/>
          <w:sz w:val="24"/>
          <w:szCs w:val="24"/>
        </w:rPr>
      </w:pPr>
      <w:r w:rsidRPr="00CC6FEC">
        <w:rPr>
          <w:rFonts w:ascii="Arial" w:hAnsi="Arial" w:cs="Arial"/>
          <w:sz w:val="24"/>
          <w:szCs w:val="24"/>
        </w:rPr>
        <w:t>elabor</w:t>
      </w:r>
      <w:r>
        <w:rPr>
          <w:rFonts w:ascii="Arial" w:hAnsi="Arial" w:cs="Arial"/>
          <w:sz w:val="24"/>
          <w:szCs w:val="24"/>
        </w:rPr>
        <w:t xml:space="preserve">ación de almidones y derivados </w:t>
      </w:r>
      <w:r w:rsidRPr="00CC6FEC">
        <w:rPr>
          <w:rFonts w:ascii="Arial" w:hAnsi="Arial" w:cs="Arial"/>
          <w:sz w:val="24"/>
          <w:szCs w:val="24"/>
        </w:rPr>
        <w:t>especificaciones y métodos de prueba</w:t>
      </w:r>
      <w:r>
        <w:rPr>
          <w:rFonts w:ascii="Arial" w:hAnsi="Arial" w:cs="Arial"/>
          <w:sz w:val="24"/>
          <w:szCs w:val="24"/>
        </w:rPr>
        <w:t xml:space="preserve">. </w:t>
      </w:r>
      <w:r w:rsidR="00F103C3" w:rsidRPr="00EF0B61">
        <w:rPr>
          <w:rFonts w:ascii="Arial" w:hAnsi="Arial" w:cs="Arial"/>
          <w:sz w:val="24"/>
          <w:szCs w:val="24"/>
        </w:rPr>
        <w:t>Utilizando un medidor de la marca aqualab.</w:t>
      </w:r>
    </w:p>
    <w:p w14:paraId="56B5AB5E" w14:textId="2AF7CD9B" w:rsidR="00494A0A" w:rsidRDefault="00494A0A" w:rsidP="000704BC">
      <w:pPr>
        <w:spacing w:line="360" w:lineRule="auto"/>
        <w:jc w:val="both"/>
        <w:rPr>
          <w:rFonts w:ascii="Arial" w:hAnsi="Arial" w:cs="Arial"/>
          <w:sz w:val="24"/>
          <w:szCs w:val="24"/>
        </w:rPr>
      </w:pPr>
      <w:r w:rsidRPr="00EF0B61">
        <w:rPr>
          <w:rFonts w:ascii="Arial" w:hAnsi="Arial" w:cs="Arial"/>
          <w:sz w:val="24"/>
          <w:szCs w:val="24"/>
        </w:rPr>
        <w:t xml:space="preserve">4.5 </w:t>
      </w:r>
      <w:r w:rsidR="007C18F2" w:rsidRPr="00EF0B61">
        <w:rPr>
          <w:rFonts w:ascii="Arial" w:hAnsi="Arial" w:cs="Arial"/>
          <w:sz w:val="24"/>
          <w:szCs w:val="24"/>
        </w:rPr>
        <w:t>Análisis</w:t>
      </w:r>
      <w:r w:rsidR="007C18F2">
        <w:rPr>
          <w:rFonts w:ascii="Arial" w:hAnsi="Arial" w:cs="Arial"/>
          <w:sz w:val="24"/>
          <w:szCs w:val="24"/>
        </w:rPr>
        <w:t xml:space="preserve"> de datos</w:t>
      </w:r>
      <w:r w:rsidRPr="00EF0B61">
        <w:rPr>
          <w:rFonts w:ascii="Arial" w:hAnsi="Arial" w:cs="Arial"/>
          <w:sz w:val="24"/>
          <w:szCs w:val="24"/>
        </w:rPr>
        <w:t xml:space="preserve"> </w:t>
      </w:r>
    </w:p>
    <w:p w14:paraId="502EA2B5" w14:textId="69BBBE50" w:rsidR="00EF0B61" w:rsidRDefault="000A7130" w:rsidP="000704BC">
      <w:pPr>
        <w:spacing w:line="360" w:lineRule="auto"/>
        <w:jc w:val="both"/>
        <w:rPr>
          <w:rFonts w:ascii="Arial" w:hAnsi="Arial" w:cs="Arial"/>
          <w:sz w:val="24"/>
          <w:szCs w:val="24"/>
        </w:rPr>
      </w:pPr>
      <w:r>
        <w:rPr>
          <w:rFonts w:ascii="Arial" w:hAnsi="Arial" w:cs="Arial"/>
          <w:sz w:val="24"/>
          <w:szCs w:val="24"/>
        </w:rPr>
        <w:t>Las concentraciones de fumonisinas fueron obtenidas mediante el software Ridasoft Win . Net que determina concentración de fumonisinas totales.</w:t>
      </w:r>
    </w:p>
    <w:p w14:paraId="43492AFF" w14:textId="1525CB8D" w:rsidR="00494A0A" w:rsidRDefault="00D12ADF" w:rsidP="000704BC">
      <w:pPr>
        <w:spacing w:line="360" w:lineRule="auto"/>
        <w:jc w:val="both"/>
        <w:rPr>
          <w:rFonts w:ascii="Arial" w:hAnsi="Arial" w:cs="Arial"/>
          <w:b/>
          <w:sz w:val="24"/>
          <w:szCs w:val="24"/>
        </w:rPr>
      </w:pPr>
      <w:r w:rsidRPr="00EF0B61">
        <w:rPr>
          <w:rFonts w:ascii="Arial" w:hAnsi="Arial" w:cs="Arial"/>
          <w:sz w:val="24"/>
          <w:szCs w:val="24"/>
        </w:rPr>
        <w:t>5.</w:t>
      </w:r>
      <w:r w:rsidRPr="00EF0B61">
        <w:rPr>
          <w:rFonts w:ascii="Arial" w:hAnsi="Arial" w:cs="Arial"/>
          <w:b/>
          <w:sz w:val="24"/>
          <w:szCs w:val="24"/>
        </w:rPr>
        <w:t xml:space="preserve">Avances de resultados y discusión </w:t>
      </w:r>
    </w:p>
    <w:p w14:paraId="65FEA514" w14:textId="496BE8DD" w:rsidR="000A7130" w:rsidRPr="000A7130" w:rsidRDefault="00461D4B" w:rsidP="000704BC">
      <w:pPr>
        <w:spacing w:line="360" w:lineRule="auto"/>
        <w:jc w:val="both"/>
        <w:rPr>
          <w:rFonts w:ascii="Arial" w:hAnsi="Arial" w:cs="Arial"/>
          <w:sz w:val="24"/>
          <w:szCs w:val="24"/>
        </w:rPr>
      </w:pPr>
      <w:r>
        <w:rPr>
          <w:rFonts w:ascii="Arial" w:hAnsi="Arial" w:cs="Arial"/>
          <w:sz w:val="24"/>
          <w:szCs w:val="24"/>
        </w:rPr>
        <w:t>Como se muestras</w:t>
      </w:r>
      <w:r w:rsidR="000A7130">
        <w:rPr>
          <w:rFonts w:ascii="Arial" w:hAnsi="Arial" w:cs="Arial"/>
          <w:sz w:val="24"/>
          <w:szCs w:val="24"/>
        </w:rPr>
        <w:t xml:space="preserve"> </w:t>
      </w:r>
      <w:r>
        <w:rPr>
          <w:rFonts w:ascii="Arial" w:hAnsi="Arial" w:cs="Arial"/>
          <w:sz w:val="24"/>
          <w:szCs w:val="24"/>
        </w:rPr>
        <w:t xml:space="preserve">en la figura 1 </w:t>
      </w:r>
      <w:r w:rsidR="007C18F2">
        <w:rPr>
          <w:rFonts w:ascii="Arial" w:hAnsi="Arial" w:cs="Arial"/>
          <w:sz w:val="24"/>
          <w:szCs w:val="24"/>
        </w:rPr>
        <w:t>el coeficiente</w:t>
      </w:r>
      <w:r w:rsidR="000A7130">
        <w:rPr>
          <w:rFonts w:ascii="Arial" w:hAnsi="Arial" w:cs="Arial"/>
          <w:sz w:val="24"/>
          <w:szCs w:val="24"/>
        </w:rPr>
        <w:t xml:space="preserve"> de correlación</w:t>
      </w:r>
      <w:r>
        <w:rPr>
          <w:rFonts w:ascii="Arial" w:hAnsi="Arial" w:cs="Arial"/>
          <w:sz w:val="24"/>
          <w:szCs w:val="24"/>
        </w:rPr>
        <w:t xml:space="preserve"> obtenido en la </w:t>
      </w:r>
      <w:r w:rsidR="007C18F2">
        <w:rPr>
          <w:rFonts w:ascii="Arial" w:hAnsi="Arial" w:cs="Arial"/>
          <w:sz w:val="24"/>
          <w:szCs w:val="24"/>
        </w:rPr>
        <w:t>curva</w:t>
      </w:r>
      <w:r>
        <w:rPr>
          <w:rFonts w:ascii="Arial" w:hAnsi="Arial" w:cs="Arial"/>
          <w:sz w:val="24"/>
          <w:szCs w:val="24"/>
        </w:rPr>
        <w:t xml:space="preserve"> de </w:t>
      </w:r>
      <w:r w:rsidR="00BF2343">
        <w:rPr>
          <w:rFonts w:ascii="Arial" w:hAnsi="Arial" w:cs="Arial"/>
          <w:sz w:val="24"/>
          <w:szCs w:val="24"/>
        </w:rPr>
        <w:t>calibración</w:t>
      </w:r>
      <w:r>
        <w:rPr>
          <w:rFonts w:ascii="Arial" w:hAnsi="Arial" w:cs="Arial"/>
          <w:sz w:val="24"/>
          <w:szCs w:val="24"/>
        </w:rPr>
        <w:t xml:space="preserve"> </w:t>
      </w:r>
      <w:r w:rsidR="007C18F2">
        <w:rPr>
          <w:rFonts w:ascii="Arial" w:hAnsi="Arial" w:cs="Arial"/>
          <w:sz w:val="24"/>
          <w:szCs w:val="24"/>
        </w:rPr>
        <w:t>fue de</w:t>
      </w:r>
      <w:r w:rsidR="000A7130">
        <w:rPr>
          <w:rFonts w:ascii="Arial" w:hAnsi="Arial" w:cs="Arial"/>
          <w:sz w:val="24"/>
          <w:szCs w:val="24"/>
        </w:rPr>
        <w:t xml:space="preserve"> 0.9492 </w:t>
      </w:r>
    </w:p>
    <w:p w14:paraId="0E1E8D34" w14:textId="6CBB793D" w:rsidR="000A7130" w:rsidRDefault="000A7130" w:rsidP="000704BC">
      <w:pPr>
        <w:spacing w:line="360" w:lineRule="auto"/>
        <w:jc w:val="both"/>
        <w:rPr>
          <w:rFonts w:ascii="Arial" w:hAnsi="Arial" w:cs="Arial"/>
          <w:b/>
          <w:sz w:val="24"/>
          <w:szCs w:val="24"/>
        </w:rPr>
      </w:pPr>
    </w:p>
    <w:p w14:paraId="5A5EAF1C" w14:textId="0F340D18" w:rsidR="007F04E1" w:rsidRDefault="000704BC" w:rsidP="000704BC">
      <w:pPr>
        <w:spacing w:line="360" w:lineRule="auto"/>
        <w:jc w:val="both"/>
        <w:rPr>
          <w:rFonts w:ascii="Arial" w:hAnsi="Arial" w:cs="Arial"/>
          <w:sz w:val="24"/>
          <w:szCs w:val="24"/>
        </w:rPr>
      </w:pPr>
      <w:r w:rsidRPr="000A7130">
        <w:rPr>
          <w:rFonts w:ascii="Arial" w:hAnsi="Arial" w:cs="Arial"/>
          <w:b/>
          <w:noProof/>
          <w:sz w:val="24"/>
          <w:szCs w:val="24"/>
          <w:lang w:eastAsia="es-MX"/>
        </w:rPr>
        <w:drawing>
          <wp:inline distT="0" distB="0" distL="0" distR="0" wp14:anchorId="5AE7123B" wp14:editId="17F303AE">
            <wp:extent cx="3040912" cy="1777936"/>
            <wp:effectExtent l="0" t="0" r="7620" b="0"/>
            <wp:docPr id="8" name="Marcador de contenido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Marcador de contenido 7"/>
                    <pic:cNvPicPr>
                      <a:picLocks noGrp="1" noChangeAspect="1"/>
                    </pic:cNvPicPr>
                  </pic:nvPicPr>
                  <pic:blipFill>
                    <a:blip r:embed="rId8"/>
                    <a:stretch>
                      <a:fillRect/>
                    </a:stretch>
                  </pic:blipFill>
                  <pic:spPr>
                    <a:xfrm>
                      <a:off x="0" y="0"/>
                      <a:ext cx="3069799" cy="1794825"/>
                    </a:xfrm>
                    <a:prstGeom prst="rect">
                      <a:avLst/>
                    </a:prstGeom>
                  </pic:spPr>
                </pic:pic>
              </a:graphicData>
            </a:graphic>
          </wp:inline>
        </w:drawing>
      </w:r>
      <w:r w:rsidR="00BF2343" w:rsidRPr="00461D4B">
        <w:rPr>
          <w:rFonts w:ascii="Arial" w:hAnsi="Arial" w:cs="Arial"/>
          <w:noProof/>
          <w:sz w:val="24"/>
          <w:szCs w:val="24"/>
          <w:lang w:eastAsia="es-MX"/>
        </w:rPr>
        <mc:AlternateContent>
          <mc:Choice Requires="wps">
            <w:drawing>
              <wp:anchor distT="45720" distB="45720" distL="114300" distR="114300" simplePos="0" relativeHeight="251659264" behindDoc="0" locked="0" layoutInCell="1" allowOverlap="1" wp14:anchorId="4D566F85" wp14:editId="4BE41EFD">
                <wp:simplePos x="0" y="0"/>
                <wp:positionH relativeFrom="margin">
                  <wp:align>left</wp:align>
                </wp:positionH>
                <wp:positionV relativeFrom="paragraph">
                  <wp:posOffset>13932</wp:posOffset>
                </wp:positionV>
                <wp:extent cx="2900045" cy="429895"/>
                <wp:effectExtent l="0" t="0" r="0"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429895"/>
                        </a:xfrm>
                        <a:prstGeom prst="rect">
                          <a:avLst/>
                        </a:prstGeom>
                        <a:solidFill>
                          <a:srgbClr val="FFFFFF"/>
                        </a:solidFill>
                        <a:ln w="9525">
                          <a:noFill/>
                          <a:miter lim="800000"/>
                          <a:headEnd/>
                          <a:tailEnd/>
                        </a:ln>
                      </wps:spPr>
                      <wps:txbx>
                        <w:txbxContent>
                          <w:p w14:paraId="21B4E024" w14:textId="040BCDA6" w:rsidR="00461D4B" w:rsidRDefault="00461D4B">
                            <w:r>
                              <w:t>Figura 1. Curva de calibración</w:t>
                            </w:r>
                            <w:r w:rsidR="007F04E1">
                              <w:t xml:space="preserve"> estándar de fumonisinas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6F85" id="_x0000_t202" coordsize="21600,21600" o:spt="202" path="m,l,21600r21600,l21600,xe">
                <v:stroke joinstyle="miter"/>
                <v:path gradientshapeok="t" o:connecttype="rect"/>
              </v:shapetype>
              <v:shape id="Cuadro de texto 2" o:spid="_x0000_s1026" type="#_x0000_t202" style="position:absolute;left:0;text-align:left;margin-left:0;margin-top:1.1pt;width:228.35pt;height:33.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" stroked="f">
                <v:textbox>
                  <w:txbxContent>
                    <w:p w14:paraId="21B4E024" w14:textId="040BCDA6" w:rsidR="00461D4B" w:rsidRDefault="00461D4B">
                      <w:r>
                        <w:t>Figura 1. Curva de calibración</w:t>
                      </w:r>
                      <w:r w:rsidR="007F04E1">
                        <w:t xml:space="preserve"> estándar de fumonisinas</w:t>
                      </w:r>
                    </w:p>
                  </w:txbxContent>
                </v:textbox>
                <w10:wrap type="square" anchorx="margin"/>
              </v:shape>
            </w:pict>
          </mc:Fallback>
        </mc:AlternateContent>
      </w:r>
    </w:p>
    <w:p w14:paraId="600F5811" w14:textId="77777777" w:rsidR="00BF2343" w:rsidRDefault="00BF2343" w:rsidP="000704BC">
      <w:pPr>
        <w:spacing w:line="360" w:lineRule="auto"/>
        <w:jc w:val="both"/>
        <w:rPr>
          <w:rFonts w:ascii="Arial" w:hAnsi="Arial" w:cs="Arial"/>
          <w:sz w:val="24"/>
          <w:szCs w:val="24"/>
        </w:rPr>
      </w:pPr>
    </w:p>
    <w:p w14:paraId="7469D66A" w14:textId="69EA641B" w:rsidR="002B5D02" w:rsidRDefault="00EF0B61" w:rsidP="000704BC">
      <w:pPr>
        <w:spacing w:line="360" w:lineRule="auto"/>
        <w:jc w:val="both"/>
        <w:rPr>
          <w:rFonts w:ascii="Arial" w:hAnsi="Arial" w:cs="Arial"/>
          <w:sz w:val="24"/>
          <w:szCs w:val="24"/>
        </w:rPr>
      </w:pPr>
      <w:r>
        <w:rPr>
          <w:rFonts w:ascii="Arial" w:hAnsi="Arial" w:cs="Arial"/>
          <w:sz w:val="24"/>
          <w:szCs w:val="24"/>
        </w:rPr>
        <w:t>Los resultados obtenidos para maíz de consumo humano fu</w:t>
      </w:r>
      <w:r w:rsidR="002B5D02">
        <w:rPr>
          <w:rFonts w:ascii="Arial" w:hAnsi="Arial" w:cs="Arial"/>
          <w:sz w:val="24"/>
          <w:szCs w:val="24"/>
        </w:rPr>
        <w:t xml:space="preserve">eron desde &lt;0.22 hasta 0.459 mg/Kg (tabla 1), y en el caso del </w:t>
      </w:r>
      <w:r w:rsidR="000F1589" w:rsidRPr="00EF0B61">
        <w:rPr>
          <w:rFonts w:ascii="Arial" w:hAnsi="Arial" w:cs="Arial"/>
          <w:sz w:val="24"/>
          <w:szCs w:val="24"/>
        </w:rPr>
        <w:t xml:space="preserve">maíz forrajero </w:t>
      </w:r>
      <w:r w:rsidR="002B5D02">
        <w:rPr>
          <w:rFonts w:ascii="Arial" w:hAnsi="Arial" w:cs="Arial"/>
          <w:sz w:val="24"/>
          <w:szCs w:val="24"/>
        </w:rPr>
        <w:t xml:space="preserve">se registraron </w:t>
      </w:r>
      <w:r w:rsidR="000F1589" w:rsidRPr="00EF0B61">
        <w:rPr>
          <w:rFonts w:ascii="Arial" w:hAnsi="Arial" w:cs="Arial"/>
          <w:sz w:val="24"/>
          <w:szCs w:val="24"/>
        </w:rPr>
        <w:t>valores que van desde no calculables hasta 4 mg/kg</w:t>
      </w:r>
      <w:r w:rsidR="002B5D02">
        <w:rPr>
          <w:rFonts w:ascii="Arial" w:hAnsi="Arial" w:cs="Arial"/>
          <w:sz w:val="24"/>
          <w:szCs w:val="24"/>
        </w:rPr>
        <w:t xml:space="preserve"> (tabla 2).</w:t>
      </w:r>
    </w:p>
    <w:p w14:paraId="2B765504" w14:textId="136DB5D1" w:rsidR="000A7130" w:rsidRPr="00EF0B61" w:rsidRDefault="002B5D02" w:rsidP="000704BC">
      <w:pPr>
        <w:spacing w:line="360" w:lineRule="auto"/>
        <w:jc w:val="both"/>
        <w:rPr>
          <w:rFonts w:ascii="Arial" w:hAnsi="Arial" w:cs="Arial"/>
          <w:sz w:val="24"/>
          <w:szCs w:val="24"/>
        </w:rPr>
      </w:pPr>
      <w:r>
        <w:rPr>
          <w:rFonts w:ascii="Arial" w:hAnsi="Arial" w:cs="Arial"/>
          <w:sz w:val="24"/>
          <w:szCs w:val="24"/>
        </w:rPr>
        <w:t>Se encontró mayor concentración de fumonisina en maíz forrajero que en maíz de consumo humano, aun as</w:t>
      </w:r>
      <w:r w:rsidRPr="00EF0B61">
        <w:rPr>
          <w:rFonts w:ascii="Arial" w:hAnsi="Arial" w:cs="Arial"/>
          <w:sz w:val="24"/>
          <w:szCs w:val="24"/>
        </w:rPr>
        <w:t>í,</w:t>
      </w:r>
      <w:r w:rsidR="000F1589" w:rsidRPr="00EF0B61">
        <w:rPr>
          <w:rFonts w:ascii="Arial" w:hAnsi="Arial" w:cs="Arial"/>
          <w:sz w:val="24"/>
          <w:szCs w:val="24"/>
        </w:rPr>
        <w:t xml:space="preserve"> en ambos casos </w:t>
      </w:r>
      <w:r w:rsidRPr="00EF0B61">
        <w:rPr>
          <w:rFonts w:ascii="Arial" w:hAnsi="Arial" w:cs="Arial"/>
          <w:sz w:val="24"/>
          <w:szCs w:val="24"/>
        </w:rPr>
        <w:t>los niveles de dichas toxinas se encuentran</w:t>
      </w:r>
      <w:r w:rsidR="000F1589" w:rsidRPr="00EF0B61">
        <w:rPr>
          <w:rFonts w:ascii="Arial" w:hAnsi="Arial" w:cs="Arial"/>
          <w:sz w:val="24"/>
          <w:szCs w:val="24"/>
        </w:rPr>
        <w:t xml:space="preserve"> dentro </w:t>
      </w:r>
      <w:r w:rsidR="00F76D13" w:rsidRPr="00EF0B61">
        <w:rPr>
          <w:rFonts w:ascii="Arial" w:hAnsi="Arial" w:cs="Arial"/>
          <w:sz w:val="24"/>
          <w:szCs w:val="24"/>
        </w:rPr>
        <w:t>del</w:t>
      </w:r>
      <w:r w:rsidR="000F1589" w:rsidRPr="00EF0B61">
        <w:rPr>
          <w:rFonts w:ascii="Arial" w:hAnsi="Arial" w:cs="Arial"/>
          <w:sz w:val="24"/>
          <w:szCs w:val="24"/>
        </w:rPr>
        <w:t xml:space="preserve"> nivel máximo </w:t>
      </w:r>
      <w:r w:rsidR="00171990" w:rsidRPr="00EF0B61">
        <w:rPr>
          <w:rFonts w:ascii="Arial" w:hAnsi="Arial" w:cs="Arial"/>
          <w:sz w:val="24"/>
          <w:szCs w:val="24"/>
        </w:rPr>
        <w:t xml:space="preserve">permitido por la </w:t>
      </w:r>
      <w:r w:rsidR="007C18F2" w:rsidRPr="00EF0B61">
        <w:rPr>
          <w:rFonts w:ascii="Arial" w:hAnsi="Arial" w:cs="Arial"/>
          <w:sz w:val="24"/>
          <w:szCs w:val="24"/>
        </w:rPr>
        <w:t>FDA</w:t>
      </w:r>
      <w:r w:rsidR="007C18F2">
        <w:rPr>
          <w:rFonts w:ascii="Arial" w:hAnsi="Arial" w:cs="Arial"/>
          <w:sz w:val="24"/>
          <w:szCs w:val="24"/>
        </w:rPr>
        <w:t xml:space="preserve"> (</w:t>
      </w:r>
      <w:r w:rsidR="007C18F2" w:rsidRPr="00EF0B61">
        <w:rPr>
          <w:rFonts w:ascii="Arial" w:hAnsi="Arial" w:cs="Arial"/>
          <w:sz w:val="24"/>
          <w:szCs w:val="24"/>
        </w:rPr>
        <w:t>2003</w:t>
      </w:r>
      <w:r w:rsidR="007C18F2">
        <w:rPr>
          <w:rFonts w:ascii="Arial" w:hAnsi="Arial" w:cs="Arial"/>
          <w:sz w:val="24"/>
          <w:szCs w:val="24"/>
        </w:rPr>
        <w:t>)</w:t>
      </w:r>
      <w:r w:rsidR="007C18F2" w:rsidRPr="00EF0B61">
        <w:rPr>
          <w:rFonts w:ascii="Arial" w:hAnsi="Arial" w:cs="Arial"/>
          <w:sz w:val="24"/>
          <w:szCs w:val="24"/>
        </w:rPr>
        <w:t xml:space="preserve"> los</w:t>
      </w:r>
      <w:r w:rsidR="000F1589" w:rsidRPr="00EF0B61">
        <w:rPr>
          <w:rFonts w:ascii="Arial" w:hAnsi="Arial" w:cs="Arial"/>
          <w:sz w:val="24"/>
          <w:szCs w:val="24"/>
        </w:rPr>
        <w:t xml:space="preserve"> cuales son de 4 mg/kg para muestras de maíz de consu</w:t>
      </w:r>
      <w:r w:rsidR="00171990" w:rsidRPr="00EF0B61">
        <w:rPr>
          <w:rFonts w:ascii="Arial" w:hAnsi="Arial" w:cs="Arial"/>
          <w:sz w:val="24"/>
          <w:szCs w:val="24"/>
        </w:rPr>
        <w:t xml:space="preserve">mo humano y para maíz de uso forrajero un </w:t>
      </w:r>
      <w:r w:rsidR="00171990" w:rsidRPr="00EF0B61">
        <w:rPr>
          <w:rFonts w:ascii="Arial" w:hAnsi="Arial" w:cs="Arial"/>
          <w:sz w:val="24"/>
          <w:szCs w:val="24"/>
        </w:rPr>
        <w:lastRenderedPageBreak/>
        <w:t>nivel máximo de 5 mg/kg, dichos valores pueden varias de acuerdo a las condiciones y necesidades de cada país.</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80"/>
      </w:tblGrid>
      <w:tr w:rsidR="00EF0B61" w:rsidRPr="00EF0B61" w14:paraId="5442DFE5" w14:textId="77777777" w:rsidTr="00E46CB2">
        <w:tc>
          <w:tcPr>
            <w:tcW w:w="4532" w:type="dxa"/>
          </w:tcPr>
          <w:tbl>
            <w:tblPr>
              <w:tblStyle w:val="Estilo1"/>
              <w:tblpPr w:leftFromText="141" w:rightFromText="141" w:vertAnchor="text" w:horzAnchor="margin" w:tblpY="-621"/>
              <w:tblOverlap w:val="never"/>
              <w:tblW w:w="0" w:type="auto"/>
              <w:tblLook w:val="04A0" w:firstRow="1" w:lastRow="0" w:firstColumn="1" w:lastColumn="0" w:noHBand="0" w:noVBand="1"/>
            </w:tblPr>
            <w:tblGrid>
              <w:gridCol w:w="1134"/>
              <w:gridCol w:w="2536"/>
            </w:tblGrid>
            <w:tr w:rsidR="00EF0B61" w:rsidRPr="00EF0B61" w14:paraId="18043C8E" w14:textId="77777777" w:rsidTr="007578FE">
              <w:trPr>
                <w:trHeight w:val="696"/>
              </w:trPr>
              <w:tc>
                <w:tcPr>
                  <w:tcW w:w="3670" w:type="dxa"/>
                  <w:gridSpan w:val="2"/>
                  <w:tcBorders>
                    <w:bottom w:val="single" w:sz="4" w:space="0" w:color="auto"/>
                  </w:tcBorders>
                </w:tcPr>
                <w:p w14:paraId="462A55DE" w14:textId="77777777" w:rsidR="00EF0B61" w:rsidRPr="00EF0B61" w:rsidRDefault="00EF0B61" w:rsidP="000704BC">
                  <w:pPr>
                    <w:spacing w:line="360" w:lineRule="auto"/>
                    <w:jc w:val="both"/>
                    <w:rPr>
                      <w:rFonts w:ascii="Arial" w:hAnsi="Arial" w:cs="Arial"/>
                      <w:sz w:val="24"/>
                      <w:szCs w:val="24"/>
                    </w:rPr>
                  </w:pPr>
                </w:p>
                <w:p w14:paraId="612D0ACD" w14:textId="31B93C4F"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 xml:space="preserve">Tabla 1. </w:t>
                  </w:r>
                  <w:r>
                    <w:rPr>
                      <w:rFonts w:ascii="Arial" w:hAnsi="Arial" w:cs="Arial"/>
                      <w:sz w:val="24"/>
                      <w:szCs w:val="24"/>
                    </w:rPr>
                    <w:t>Concentración</w:t>
                  </w:r>
                  <w:r w:rsidRPr="00EF0B61">
                    <w:rPr>
                      <w:rFonts w:ascii="Arial" w:hAnsi="Arial" w:cs="Arial"/>
                      <w:sz w:val="24"/>
                      <w:szCs w:val="24"/>
                    </w:rPr>
                    <w:t xml:space="preserve"> de fumonisinas en maíz de consumo humano</w:t>
                  </w:r>
                </w:p>
              </w:tc>
            </w:tr>
            <w:tr w:rsidR="00EF0B61" w:rsidRPr="00EF0B61" w14:paraId="77EE9E78" w14:textId="77777777" w:rsidTr="007578FE">
              <w:trPr>
                <w:trHeight w:val="696"/>
              </w:trPr>
              <w:tc>
                <w:tcPr>
                  <w:tcW w:w="1134" w:type="dxa"/>
                  <w:tcBorders>
                    <w:top w:val="single" w:sz="4" w:space="0" w:color="auto"/>
                    <w:bottom w:val="single" w:sz="4" w:space="0" w:color="auto"/>
                  </w:tcBorders>
                </w:tcPr>
                <w:p w14:paraId="7593E481"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 xml:space="preserve">Muestra </w:t>
                  </w:r>
                </w:p>
              </w:tc>
              <w:tc>
                <w:tcPr>
                  <w:tcW w:w="2536" w:type="dxa"/>
                  <w:tcBorders>
                    <w:top w:val="single" w:sz="4" w:space="0" w:color="auto"/>
                    <w:bottom w:val="single" w:sz="4" w:space="0" w:color="auto"/>
                  </w:tcBorders>
                </w:tcPr>
                <w:p w14:paraId="45B22FA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Fumonisinas totales</w:t>
                  </w:r>
                </w:p>
                <w:p w14:paraId="5FDB378A"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(mg/Kg)</w:t>
                  </w:r>
                </w:p>
              </w:tc>
            </w:tr>
            <w:tr w:rsidR="00EF0B61" w:rsidRPr="00EF0B61" w14:paraId="5DCD2CBF" w14:textId="77777777" w:rsidTr="007578FE">
              <w:trPr>
                <w:trHeight w:val="227"/>
              </w:trPr>
              <w:tc>
                <w:tcPr>
                  <w:tcW w:w="1134" w:type="dxa"/>
                  <w:tcBorders>
                    <w:top w:val="single" w:sz="4" w:space="0" w:color="auto"/>
                  </w:tcBorders>
                </w:tcPr>
                <w:p w14:paraId="18424CAB"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w:t>
                  </w:r>
                </w:p>
              </w:tc>
              <w:tc>
                <w:tcPr>
                  <w:tcW w:w="2536" w:type="dxa"/>
                  <w:tcBorders>
                    <w:top w:val="single" w:sz="4" w:space="0" w:color="auto"/>
                  </w:tcBorders>
                </w:tcPr>
                <w:p w14:paraId="42840554"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1D45729F" w14:textId="77777777" w:rsidTr="007578FE">
              <w:trPr>
                <w:trHeight w:val="227"/>
              </w:trPr>
              <w:tc>
                <w:tcPr>
                  <w:tcW w:w="1134" w:type="dxa"/>
                </w:tcPr>
                <w:p w14:paraId="233A954C"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2</w:t>
                  </w:r>
                </w:p>
              </w:tc>
              <w:tc>
                <w:tcPr>
                  <w:tcW w:w="2536" w:type="dxa"/>
                </w:tcPr>
                <w:p w14:paraId="197E4C6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5AF4EFA8" w14:textId="77777777" w:rsidTr="007578FE">
              <w:trPr>
                <w:trHeight w:val="227"/>
              </w:trPr>
              <w:tc>
                <w:tcPr>
                  <w:tcW w:w="1134" w:type="dxa"/>
                </w:tcPr>
                <w:p w14:paraId="0C4AEC8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3</w:t>
                  </w:r>
                </w:p>
              </w:tc>
              <w:tc>
                <w:tcPr>
                  <w:tcW w:w="2536" w:type="dxa"/>
                </w:tcPr>
                <w:p w14:paraId="31606AFB"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6B319F5F" w14:textId="77777777" w:rsidTr="007578FE">
              <w:trPr>
                <w:trHeight w:val="242"/>
              </w:trPr>
              <w:tc>
                <w:tcPr>
                  <w:tcW w:w="1134" w:type="dxa"/>
                </w:tcPr>
                <w:p w14:paraId="019ADD0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4</w:t>
                  </w:r>
                </w:p>
              </w:tc>
              <w:tc>
                <w:tcPr>
                  <w:tcW w:w="2536" w:type="dxa"/>
                </w:tcPr>
                <w:p w14:paraId="2D1DCC41"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0.318</w:t>
                  </w:r>
                </w:p>
              </w:tc>
            </w:tr>
            <w:tr w:rsidR="00EF0B61" w:rsidRPr="00EF0B61" w14:paraId="464A54AD" w14:textId="77777777" w:rsidTr="007578FE">
              <w:trPr>
                <w:trHeight w:val="227"/>
              </w:trPr>
              <w:tc>
                <w:tcPr>
                  <w:tcW w:w="1134" w:type="dxa"/>
                </w:tcPr>
                <w:p w14:paraId="69BBE8F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5</w:t>
                  </w:r>
                </w:p>
              </w:tc>
              <w:tc>
                <w:tcPr>
                  <w:tcW w:w="2536" w:type="dxa"/>
                </w:tcPr>
                <w:p w14:paraId="68E57870"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43A82F01" w14:textId="77777777" w:rsidTr="007578FE">
              <w:trPr>
                <w:trHeight w:val="227"/>
              </w:trPr>
              <w:tc>
                <w:tcPr>
                  <w:tcW w:w="1134" w:type="dxa"/>
                </w:tcPr>
                <w:p w14:paraId="2C9F519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6</w:t>
                  </w:r>
                </w:p>
              </w:tc>
              <w:tc>
                <w:tcPr>
                  <w:tcW w:w="2536" w:type="dxa"/>
                </w:tcPr>
                <w:p w14:paraId="770987B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0E53CF3B" w14:textId="77777777" w:rsidTr="007578FE">
              <w:trPr>
                <w:trHeight w:val="242"/>
              </w:trPr>
              <w:tc>
                <w:tcPr>
                  <w:tcW w:w="1134" w:type="dxa"/>
                </w:tcPr>
                <w:p w14:paraId="262003C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7</w:t>
                  </w:r>
                </w:p>
              </w:tc>
              <w:tc>
                <w:tcPr>
                  <w:tcW w:w="2536" w:type="dxa"/>
                </w:tcPr>
                <w:p w14:paraId="353D5E34"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3636156B" w14:textId="77777777" w:rsidTr="007578FE">
              <w:trPr>
                <w:trHeight w:val="227"/>
              </w:trPr>
              <w:tc>
                <w:tcPr>
                  <w:tcW w:w="1134" w:type="dxa"/>
                </w:tcPr>
                <w:p w14:paraId="4041B1D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8</w:t>
                  </w:r>
                </w:p>
              </w:tc>
              <w:tc>
                <w:tcPr>
                  <w:tcW w:w="2536" w:type="dxa"/>
                </w:tcPr>
                <w:p w14:paraId="33509A24"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0.459</w:t>
                  </w:r>
                </w:p>
              </w:tc>
            </w:tr>
            <w:tr w:rsidR="00EF0B61" w:rsidRPr="00EF0B61" w14:paraId="56BDCDC6" w14:textId="77777777" w:rsidTr="007578FE">
              <w:trPr>
                <w:trHeight w:val="227"/>
              </w:trPr>
              <w:tc>
                <w:tcPr>
                  <w:tcW w:w="1134" w:type="dxa"/>
                </w:tcPr>
                <w:p w14:paraId="53E08881"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9</w:t>
                  </w:r>
                </w:p>
              </w:tc>
              <w:tc>
                <w:tcPr>
                  <w:tcW w:w="2536" w:type="dxa"/>
                </w:tcPr>
                <w:p w14:paraId="67E1A683"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3A344682" w14:textId="77777777" w:rsidTr="007578FE">
              <w:trPr>
                <w:trHeight w:val="227"/>
              </w:trPr>
              <w:tc>
                <w:tcPr>
                  <w:tcW w:w="1134" w:type="dxa"/>
                </w:tcPr>
                <w:p w14:paraId="4A8C0B2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10</w:t>
                  </w:r>
                </w:p>
              </w:tc>
              <w:tc>
                <w:tcPr>
                  <w:tcW w:w="2536" w:type="dxa"/>
                </w:tcPr>
                <w:p w14:paraId="7993E7E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656B70BA" w14:textId="77777777" w:rsidTr="007578FE">
              <w:trPr>
                <w:trHeight w:val="242"/>
              </w:trPr>
              <w:tc>
                <w:tcPr>
                  <w:tcW w:w="1134" w:type="dxa"/>
                </w:tcPr>
                <w:p w14:paraId="0281CF0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11</w:t>
                  </w:r>
                </w:p>
              </w:tc>
              <w:tc>
                <w:tcPr>
                  <w:tcW w:w="2536" w:type="dxa"/>
                </w:tcPr>
                <w:p w14:paraId="48F12028"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5FA6D535" w14:textId="77777777" w:rsidTr="007578FE">
              <w:trPr>
                <w:trHeight w:val="227"/>
              </w:trPr>
              <w:tc>
                <w:tcPr>
                  <w:tcW w:w="1134" w:type="dxa"/>
                </w:tcPr>
                <w:p w14:paraId="65D08A60"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12</w:t>
                  </w:r>
                </w:p>
              </w:tc>
              <w:tc>
                <w:tcPr>
                  <w:tcW w:w="2536" w:type="dxa"/>
                </w:tcPr>
                <w:p w14:paraId="0C5979EB"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6AD7A60B" w14:textId="77777777" w:rsidTr="007578FE">
              <w:trPr>
                <w:trHeight w:val="227"/>
              </w:trPr>
              <w:tc>
                <w:tcPr>
                  <w:tcW w:w="1134" w:type="dxa"/>
                </w:tcPr>
                <w:p w14:paraId="1E4E2BD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13</w:t>
                  </w:r>
                </w:p>
              </w:tc>
              <w:tc>
                <w:tcPr>
                  <w:tcW w:w="2536" w:type="dxa"/>
                </w:tcPr>
                <w:p w14:paraId="37F5C6C8"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0B3C7E74" w14:textId="77777777" w:rsidTr="007578FE">
              <w:trPr>
                <w:trHeight w:val="242"/>
              </w:trPr>
              <w:tc>
                <w:tcPr>
                  <w:tcW w:w="1134" w:type="dxa"/>
                </w:tcPr>
                <w:p w14:paraId="6E09E77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14</w:t>
                  </w:r>
                </w:p>
              </w:tc>
              <w:tc>
                <w:tcPr>
                  <w:tcW w:w="2536" w:type="dxa"/>
                </w:tcPr>
                <w:p w14:paraId="0D017043"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r w:rsidR="00EF0B61" w:rsidRPr="00EF0B61" w14:paraId="22AF20CD" w14:textId="77777777" w:rsidTr="007578FE">
              <w:trPr>
                <w:trHeight w:val="311"/>
              </w:trPr>
              <w:tc>
                <w:tcPr>
                  <w:tcW w:w="1134" w:type="dxa"/>
                </w:tcPr>
                <w:p w14:paraId="2ACBDFE4"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15</w:t>
                  </w:r>
                </w:p>
                <w:p w14:paraId="6A58E6B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16</w:t>
                  </w:r>
                </w:p>
              </w:tc>
              <w:tc>
                <w:tcPr>
                  <w:tcW w:w="2536" w:type="dxa"/>
                </w:tcPr>
                <w:p w14:paraId="6F9735B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p w14:paraId="16F3D13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&lt;0.22</w:t>
                  </w:r>
                </w:p>
              </w:tc>
            </w:tr>
          </w:tbl>
          <w:p w14:paraId="338A13D1" w14:textId="77777777" w:rsidR="00EF0B61" w:rsidRPr="00EF0B61" w:rsidRDefault="00EF0B61" w:rsidP="000704BC">
            <w:pPr>
              <w:spacing w:line="360" w:lineRule="auto"/>
              <w:jc w:val="both"/>
              <w:rPr>
                <w:rFonts w:ascii="Arial" w:hAnsi="Arial" w:cs="Arial"/>
                <w:i/>
                <w:sz w:val="24"/>
                <w:szCs w:val="24"/>
              </w:rPr>
            </w:pPr>
          </w:p>
        </w:tc>
        <w:tc>
          <w:tcPr>
            <w:tcW w:w="4580" w:type="dxa"/>
          </w:tcPr>
          <w:p w14:paraId="02566A9A" w14:textId="48443783" w:rsidR="00EF0B61" w:rsidRDefault="00EF0B61" w:rsidP="000704BC">
            <w:pPr>
              <w:spacing w:line="360" w:lineRule="auto"/>
            </w:pPr>
          </w:p>
          <w:tbl>
            <w:tblPr>
              <w:tblStyle w:val="Tablaconcuadrcula"/>
              <w:tblpPr w:leftFromText="141" w:rightFromText="141" w:vertAnchor="text" w:horzAnchor="margin" w:tblpY="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7"/>
            </w:tblGrid>
            <w:tr w:rsidR="00EF0B61" w:rsidRPr="00EF0B61" w14:paraId="48CB34A3" w14:textId="77777777" w:rsidTr="007578FE">
              <w:tc>
                <w:tcPr>
                  <w:tcW w:w="3686" w:type="dxa"/>
                  <w:gridSpan w:val="2"/>
                  <w:tcBorders>
                    <w:bottom w:val="single" w:sz="4" w:space="0" w:color="auto"/>
                  </w:tcBorders>
                </w:tcPr>
                <w:p w14:paraId="53270D5E" w14:textId="77777777" w:rsidR="00EF0B61" w:rsidRPr="00EF0B61" w:rsidRDefault="00EF0B61" w:rsidP="000704BC">
                  <w:pPr>
                    <w:spacing w:line="360" w:lineRule="auto"/>
                    <w:jc w:val="both"/>
                    <w:rPr>
                      <w:rFonts w:ascii="Arial" w:hAnsi="Arial" w:cs="Arial"/>
                      <w:sz w:val="24"/>
                      <w:szCs w:val="24"/>
                    </w:rPr>
                  </w:pPr>
                </w:p>
                <w:p w14:paraId="1C38C430" w14:textId="236FF05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 xml:space="preserve">Tabla 2. </w:t>
                  </w:r>
                  <w:r>
                    <w:rPr>
                      <w:rFonts w:ascii="Arial" w:hAnsi="Arial" w:cs="Arial"/>
                      <w:sz w:val="24"/>
                      <w:szCs w:val="24"/>
                    </w:rPr>
                    <w:t>Concentración</w:t>
                  </w:r>
                  <w:r w:rsidRPr="00EF0B61">
                    <w:rPr>
                      <w:rFonts w:ascii="Arial" w:hAnsi="Arial" w:cs="Arial"/>
                      <w:sz w:val="24"/>
                      <w:szCs w:val="24"/>
                    </w:rPr>
                    <w:t xml:space="preserve"> de fumonisinas en maíz forrajero</w:t>
                  </w:r>
                </w:p>
              </w:tc>
            </w:tr>
            <w:tr w:rsidR="00EF0B61" w:rsidRPr="00EF0B61" w14:paraId="5BE1126A" w14:textId="77777777" w:rsidTr="007578FE">
              <w:trPr>
                <w:trHeight w:val="721"/>
              </w:trPr>
              <w:tc>
                <w:tcPr>
                  <w:tcW w:w="1129" w:type="dxa"/>
                  <w:tcBorders>
                    <w:top w:val="single" w:sz="4" w:space="0" w:color="auto"/>
                    <w:bottom w:val="single" w:sz="4" w:space="0" w:color="auto"/>
                  </w:tcBorders>
                </w:tcPr>
                <w:p w14:paraId="36AF2AD4"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 xml:space="preserve">Muestra </w:t>
                  </w:r>
                </w:p>
              </w:tc>
              <w:tc>
                <w:tcPr>
                  <w:tcW w:w="2557" w:type="dxa"/>
                  <w:tcBorders>
                    <w:top w:val="single" w:sz="4" w:space="0" w:color="auto"/>
                    <w:bottom w:val="single" w:sz="4" w:space="0" w:color="auto"/>
                  </w:tcBorders>
                </w:tcPr>
                <w:p w14:paraId="790AEA2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Fumonisinas totales</w:t>
                  </w:r>
                </w:p>
                <w:p w14:paraId="32C5733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(mg/Kg)</w:t>
                  </w:r>
                </w:p>
              </w:tc>
            </w:tr>
            <w:tr w:rsidR="00EF0B61" w:rsidRPr="00EF0B61" w14:paraId="7189FC8D" w14:textId="77777777" w:rsidTr="007578FE">
              <w:tc>
                <w:tcPr>
                  <w:tcW w:w="1129" w:type="dxa"/>
                  <w:tcBorders>
                    <w:top w:val="single" w:sz="4" w:space="0" w:color="auto"/>
                  </w:tcBorders>
                </w:tcPr>
                <w:p w14:paraId="648C50C3"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w:t>
                  </w:r>
                </w:p>
              </w:tc>
              <w:tc>
                <w:tcPr>
                  <w:tcW w:w="2557" w:type="dxa"/>
                  <w:tcBorders>
                    <w:top w:val="single" w:sz="4" w:space="0" w:color="auto"/>
                  </w:tcBorders>
                </w:tcPr>
                <w:p w14:paraId="76032406"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0.300</w:t>
                  </w:r>
                </w:p>
              </w:tc>
            </w:tr>
            <w:tr w:rsidR="00EF0B61" w:rsidRPr="00EF0B61" w14:paraId="2FE9A544" w14:textId="77777777" w:rsidTr="007578FE">
              <w:tc>
                <w:tcPr>
                  <w:tcW w:w="1129" w:type="dxa"/>
                </w:tcPr>
                <w:p w14:paraId="55AAAF86"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2</w:t>
                  </w:r>
                </w:p>
              </w:tc>
              <w:tc>
                <w:tcPr>
                  <w:tcW w:w="2557" w:type="dxa"/>
                </w:tcPr>
                <w:p w14:paraId="101C7CBA"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No calculable</w:t>
                  </w:r>
                </w:p>
              </w:tc>
            </w:tr>
            <w:tr w:rsidR="00EF0B61" w:rsidRPr="00EF0B61" w14:paraId="02A0B7AB" w14:textId="77777777" w:rsidTr="007578FE">
              <w:tc>
                <w:tcPr>
                  <w:tcW w:w="1129" w:type="dxa"/>
                </w:tcPr>
                <w:p w14:paraId="3175F64C"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3</w:t>
                  </w:r>
                </w:p>
              </w:tc>
              <w:tc>
                <w:tcPr>
                  <w:tcW w:w="2557" w:type="dxa"/>
                </w:tcPr>
                <w:p w14:paraId="15769E3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0.713</w:t>
                  </w:r>
                </w:p>
              </w:tc>
            </w:tr>
            <w:tr w:rsidR="00EF0B61" w:rsidRPr="00EF0B61" w14:paraId="43D3B43E" w14:textId="77777777" w:rsidTr="007578FE">
              <w:tc>
                <w:tcPr>
                  <w:tcW w:w="1129" w:type="dxa"/>
                </w:tcPr>
                <w:p w14:paraId="6AB2CF1E"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4</w:t>
                  </w:r>
                </w:p>
              </w:tc>
              <w:tc>
                <w:tcPr>
                  <w:tcW w:w="2557" w:type="dxa"/>
                </w:tcPr>
                <w:p w14:paraId="68C0B45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0.705</w:t>
                  </w:r>
                </w:p>
              </w:tc>
            </w:tr>
            <w:tr w:rsidR="00EF0B61" w:rsidRPr="00EF0B61" w14:paraId="28EB973F" w14:textId="77777777" w:rsidTr="007578FE">
              <w:tc>
                <w:tcPr>
                  <w:tcW w:w="1129" w:type="dxa"/>
                </w:tcPr>
                <w:p w14:paraId="2BB6764E"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5</w:t>
                  </w:r>
                </w:p>
              </w:tc>
              <w:tc>
                <w:tcPr>
                  <w:tcW w:w="2557" w:type="dxa"/>
                </w:tcPr>
                <w:p w14:paraId="11E568A1"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0.375</w:t>
                  </w:r>
                </w:p>
              </w:tc>
            </w:tr>
            <w:tr w:rsidR="00EF0B61" w:rsidRPr="00EF0B61" w14:paraId="056D82CE" w14:textId="77777777" w:rsidTr="007578FE">
              <w:tc>
                <w:tcPr>
                  <w:tcW w:w="1129" w:type="dxa"/>
                </w:tcPr>
                <w:p w14:paraId="71160C8C"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6</w:t>
                  </w:r>
                </w:p>
              </w:tc>
              <w:tc>
                <w:tcPr>
                  <w:tcW w:w="2557" w:type="dxa"/>
                </w:tcPr>
                <w:p w14:paraId="75EC4DB1"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0.304</w:t>
                  </w:r>
                </w:p>
              </w:tc>
            </w:tr>
            <w:tr w:rsidR="00EF0B61" w:rsidRPr="00EF0B61" w14:paraId="1FA4B3EF" w14:textId="77777777" w:rsidTr="007578FE">
              <w:tc>
                <w:tcPr>
                  <w:tcW w:w="1129" w:type="dxa"/>
                </w:tcPr>
                <w:p w14:paraId="553FC3EB"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7</w:t>
                  </w:r>
                </w:p>
              </w:tc>
              <w:tc>
                <w:tcPr>
                  <w:tcW w:w="2557" w:type="dxa"/>
                </w:tcPr>
                <w:p w14:paraId="0A4BF939"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0.620</w:t>
                  </w:r>
                </w:p>
              </w:tc>
            </w:tr>
            <w:tr w:rsidR="00EF0B61" w:rsidRPr="00EF0B61" w14:paraId="2519958C" w14:textId="77777777" w:rsidTr="007578FE">
              <w:tc>
                <w:tcPr>
                  <w:tcW w:w="1129" w:type="dxa"/>
                </w:tcPr>
                <w:p w14:paraId="0C97A27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8</w:t>
                  </w:r>
                </w:p>
              </w:tc>
              <w:tc>
                <w:tcPr>
                  <w:tcW w:w="2557" w:type="dxa"/>
                </w:tcPr>
                <w:p w14:paraId="304012A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No calculable</w:t>
                  </w:r>
                </w:p>
              </w:tc>
            </w:tr>
            <w:tr w:rsidR="00EF0B61" w:rsidRPr="00EF0B61" w14:paraId="6EB93961" w14:textId="77777777" w:rsidTr="007578FE">
              <w:tc>
                <w:tcPr>
                  <w:tcW w:w="1129" w:type="dxa"/>
                </w:tcPr>
                <w:p w14:paraId="618AEAC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9</w:t>
                  </w:r>
                </w:p>
              </w:tc>
              <w:tc>
                <w:tcPr>
                  <w:tcW w:w="2557" w:type="dxa"/>
                </w:tcPr>
                <w:p w14:paraId="295CF895"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4.000</w:t>
                  </w:r>
                </w:p>
              </w:tc>
            </w:tr>
            <w:tr w:rsidR="00EF0B61" w:rsidRPr="00EF0B61" w14:paraId="5FCE771E" w14:textId="77777777" w:rsidTr="007578FE">
              <w:tc>
                <w:tcPr>
                  <w:tcW w:w="1129" w:type="dxa"/>
                </w:tcPr>
                <w:p w14:paraId="52DB227E"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10</w:t>
                  </w:r>
                </w:p>
              </w:tc>
              <w:tc>
                <w:tcPr>
                  <w:tcW w:w="2557" w:type="dxa"/>
                </w:tcPr>
                <w:p w14:paraId="3BC7171D"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0.640</w:t>
                  </w:r>
                </w:p>
              </w:tc>
            </w:tr>
            <w:tr w:rsidR="00EF0B61" w:rsidRPr="00EF0B61" w14:paraId="463FF241" w14:textId="77777777" w:rsidTr="007578FE">
              <w:tc>
                <w:tcPr>
                  <w:tcW w:w="1129" w:type="dxa"/>
                </w:tcPr>
                <w:p w14:paraId="0EBCB3F6"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11</w:t>
                  </w:r>
                </w:p>
              </w:tc>
              <w:tc>
                <w:tcPr>
                  <w:tcW w:w="2557" w:type="dxa"/>
                </w:tcPr>
                <w:p w14:paraId="785093B8"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0.436</w:t>
                  </w:r>
                </w:p>
              </w:tc>
            </w:tr>
            <w:tr w:rsidR="00EF0B61" w:rsidRPr="00EF0B61" w14:paraId="6FF052A3" w14:textId="77777777" w:rsidTr="007578FE">
              <w:tc>
                <w:tcPr>
                  <w:tcW w:w="1129" w:type="dxa"/>
                </w:tcPr>
                <w:p w14:paraId="1E3D7D8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12</w:t>
                  </w:r>
                </w:p>
              </w:tc>
              <w:tc>
                <w:tcPr>
                  <w:tcW w:w="2557" w:type="dxa"/>
                </w:tcPr>
                <w:p w14:paraId="3806978A"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0.631</w:t>
                  </w:r>
                </w:p>
              </w:tc>
            </w:tr>
            <w:tr w:rsidR="00EF0B61" w:rsidRPr="00EF0B61" w14:paraId="43706656" w14:textId="77777777" w:rsidTr="007578FE">
              <w:tc>
                <w:tcPr>
                  <w:tcW w:w="1129" w:type="dxa"/>
                </w:tcPr>
                <w:p w14:paraId="719F1852"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13</w:t>
                  </w:r>
                </w:p>
              </w:tc>
              <w:tc>
                <w:tcPr>
                  <w:tcW w:w="2557" w:type="dxa"/>
                </w:tcPr>
                <w:p w14:paraId="7F74EB36"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0.549</w:t>
                  </w:r>
                </w:p>
              </w:tc>
            </w:tr>
            <w:tr w:rsidR="00EF0B61" w:rsidRPr="00EF0B61" w14:paraId="63FB1AFB" w14:textId="77777777" w:rsidTr="007578FE">
              <w:tc>
                <w:tcPr>
                  <w:tcW w:w="1129" w:type="dxa"/>
                </w:tcPr>
                <w:p w14:paraId="4A12C47D"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14</w:t>
                  </w:r>
                </w:p>
              </w:tc>
              <w:tc>
                <w:tcPr>
                  <w:tcW w:w="2557" w:type="dxa"/>
                </w:tcPr>
                <w:p w14:paraId="4D08C1AE"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0.568</w:t>
                  </w:r>
                </w:p>
              </w:tc>
            </w:tr>
            <w:tr w:rsidR="00EF0B61" w:rsidRPr="00EF0B61" w14:paraId="380463AE" w14:textId="77777777" w:rsidTr="007578FE">
              <w:tc>
                <w:tcPr>
                  <w:tcW w:w="1129" w:type="dxa"/>
                </w:tcPr>
                <w:p w14:paraId="3347092B"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15</w:t>
                  </w:r>
                </w:p>
              </w:tc>
              <w:tc>
                <w:tcPr>
                  <w:tcW w:w="2557" w:type="dxa"/>
                </w:tcPr>
                <w:p w14:paraId="4737855F" w14:textId="77777777" w:rsidR="00EF0B61" w:rsidRPr="00EF0B61" w:rsidRDefault="00EF0B61" w:rsidP="000704BC">
                  <w:pPr>
                    <w:spacing w:line="360" w:lineRule="auto"/>
                    <w:jc w:val="both"/>
                    <w:rPr>
                      <w:rFonts w:ascii="Arial" w:hAnsi="Arial" w:cs="Arial"/>
                      <w:sz w:val="24"/>
                      <w:szCs w:val="24"/>
                    </w:rPr>
                  </w:pPr>
                  <w:r w:rsidRPr="00EF0B61">
                    <w:rPr>
                      <w:rFonts w:ascii="Arial" w:hAnsi="Arial" w:cs="Arial"/>
                      <w:sz w:val="24"/>
                      <w:szCs w:val="24"/>
                    </w:rPr>
                    <w:t>3.005</w:t>
                  </w:r>
                </w:p>
              </w:tc>
            </w:tr>
            <w:tr w:rsidR="000A7130" w:rsidRPr="00EF0B61" w14:paraId="4E4EFD9B" w14:textId="77777777" w:rsidTr="007578FE">
              <w:tc>
                <w:tcPr>
                  <w:tcW w:w="1129" w:type="dxa"/>
                </w:tcPr>
                <w:p w14:paraId="0258420B" w14:textId="77777777" w:rsidR="000A7130" w:rsidRPr="00EF0B61" w:rsidRDefault="000A7130" w:rsidP="000704BC">
                  <w:pPr>
                    <w:spacing w:line="360" w:lineRule="auto"/>
                    <w:jc w:val="both"/>
                    <w:rPr>
                      <w:rFonts w:ascii="Arial" w:hAnsi="Arial" w:cs="Arial"/>
                      <w:sz w:val="24"/>
                      <w:szCs w:val="24"/>
                    </w:rPr>
                  </w:pPr>
                </w:p>
              </w:tc>
              <w:tc>
                <w:tcPr>
                  <w:tcW w:w="2557" w:type="dxa"/>
                </w:tcPr>
                <w:p w14:paraId="0EEA51C0" w14:textId="77777777" w:rsidR="000A7130" w:rsidRPr="00EF0B61" w:rsidRDefault="000A7130" w:rsidP="000704BC">
                  <w:pPr>
                    <w:spacing w:line="360" w:lineRule="auto"/>
                    <w:jc w:val="both"/>
                    <w:rPr>
                      <w:rFonts w:ascii="Arial" w:hAnsi="Arial" w:cs="Arial"/>
                      <w:sz w:val="24"/>
                      <w:szCs w:val="24"/>
                    </w:rPr>
                  </w:pPr>
                </w:p>
              </w:tc>
            </w:tr>
          </w:tbl>
          <w:p w14:paraId="1B70DFB5" w14:textId="77777777" w:rsidR="00EF0B61" w:rsidRPr="00EF0B61" w:rsidRDefault="00EF0B61" w:rsidP="000704BC">
            <w:pPr>
              <w:spacing w:line="360" w:lineRule="auto"/>
              <w:jc w:val="both"/>
              <w:rPr>
                <w:rFonts w:ascii="Arial" w:hAnsi="Arial" w:cs="Arial"/>
                <w:i/>
                <w:sz w:val="24"/>
                <w:szCs w:val="24"/>
              </w:rPr>
            </w:pPr>
          </w:p>
        </w:tc>
      </w:tr>
    </w:tbl>
    <w:p w14:paraId="07FC5ECB" w14:textId="44E8BB2F" w:rsidR="00E46CB2" w:rsidRDefault="00E46CB2" w:rsidP="000704BC">
      <w:pPr>
        <w:spacing w:line="360" w:lineRule="auto"/>
        <w:jc w:val="both"/>
        <w:rPr>
          <w:rFonts w:ascii="Arial" w:hAnsi="Arial" w:cs="Arial"/>
          <w:sz w:val="24"/>
          <w:szCs w:val="24"/>
        </w:rPr>
      </w:pPr>
    </w:p>
    <w:p w14:paraId="09110B53" w14:textId="762DBC31" w:rsidR="00E46CB2" w:rsidRDefault="00CC6FEC" w:rsidP="000704BC">
      <w:pPr>
        <w:spacing w:line="360" w:lineRule="auto"/>
        <w:jc w:val="both"/>
        <w:rPr>
          <w:rFonts w:ascii="Arial" w:hAnsi="Arial" w:cs="Arial"/>
          <w:sz w:val="24"/>
          <w:szCs w:val="24"/>
        </w:rPr>
      </w:pPr>
      <w:r>
        <w:rPr>
          <w:rFonts w:ascii="Arial" w:hAnsi="Arial" w:cs="Arial"/>
          <w:sz w:val="24"/>
          <w:szCs w:val="24"/>
        </w:rPr>
        <w:t>Los resultados obtenidos en este estudio muestran</w:t>
      </w:r>
      <w:r w:rsidR="00E46CB2">
        <w:rPr>
          <w:rFonts w:ascii="Arial" w:hAnsi="Arial" w:cs="Arial"/>
          <w:sz w:val="24"/>
          <w:szCs w:val="24"/>
        </w:rPr>
        <w:t xml:space="preserve"> que las concentraciones de fumonisinas en el maíz tanto forrajero como de consumo humano expendido en la ciudad de Tepic es menor que lo reportado en otras partes del país.</w:t>
      </w:r>
    </w:p>
    <w:tbl>
      <w:tblPr>
        <w:tblStyle w:val="Tablaconcuadrcula"/>
        <w:tblW w:w="0" w:type="auto"/>
        <w:jc w:val="center"/>
        <w:tblLook w:val="04A0" w:firstRow="1" w:lastRow="0" w:firstColumn="1" w:lastColumn="0" w:noHBand="0" w:noVBand="1"/>
      </w:tblPr>
      <w:tblGrid>
        <w:gridCol w:w="3863"/>
        <w:gridCol w:w="1295"/>
        <w:gridCol w:w="2373"/>
      </w:tblGrid>
      <w:tr w:rsidR="00E46CB2" w14:paraId="69B83DC2" w14:textId="77777777" w:rsidTr="00E86FDB">
        <w:trPr>
          <w:jc w:val="center"/>
        </w:trPr>
        <w:tc>
          <w:tcPr>
            <w:tcW w:w="0" w:type="auto"/>
            <w:gridSpan w:val="3"/>
          </w:tcPr>
          <w:p w14:paraId="15FB6E04"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Cuadro 1 Evidencia de la contaminación por fumonisina en maíz en México</w:t>
            </w:r>
          </w:p>
        </w:tc>
      </w:tr>
      <w:tr w:rsidR="00E46CB2" w14:paraId="6E16A88A" w14:textId="77777777" w:rsidTr="00E86FDB">
        <w:trPr>
          <w:jc w:val="center"/>
        </w:trPr>
        <w:tc>
          <w:tcPr>
            <w:tcW w:w="0" w:type="auto"/>
          </w:tcPr>
          <w:p w14:paraId="5C261F0E"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Autor</w:t>
            </w:r>
          </w:p>
        </w:tc>
        <w:tc>
          <w:tcPr>
            <w:tcW w:w="0" w:type="auto"/>
          </w:tcPr>
          <w:p w14:paraId="3D824549" w14:textId="30C18A7F" w:rsidR="00E46CB2" w:rsidRPr="00BF2343" w:rsidRDefault="00461D4B" w:rsidP="000704BC">
            <w:pPr>
              <w:spacing w:line="360" w:lineRule="auto"/>
              <w:jc w:val="both"/>
              <w:rPr>
                <w:rFonts w:ascii="Arial" w:hAnsi="Arial" w:cs="Arial"/>
                <w:sz w:val="20"/>
                <w:szCs w:val="20"/>
              </w:rPr>
            </w:pPr>
            <w:r w:rsidRPr="00BF2343">
              <w:rPr>
                <w:rFonts w:ascii="Arial" w:hAnsi="Arial" w:cs="Arial"/>
                <w:sz w:val="20"/>
                <w:szCs w:val="20"/>
              </w:rPr>
              <w:t>L</w:t>
            </w:r>
            <w:r w:rsidR="00E46CB2" w:rsidRPr="00BF2343">
              <w:rPr>
                <w:rFonts w:ascii="Arial" w:hAnsi="Arial" w:cs="Arial"/>
                <w:sz w:val="20"/>
                <w:szCs w:val="20"/>
              </w:rPr>
              <w:t>ocalidad</w:t>
            </w:r>
          </w:p>
        </w:tc>
        <w:tc>
          <w:tcPr>
            <w:tcW w:w="0" w:type="auto"/>
          </w:tcPr>
          <w:p w14:paraId="49A8DC42"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Concentración</w:t>
            </w:r>
          </w:p>
        </w:tc>
      </w:tr>
      <w:tr w:rsidR="00E46CB2" w14:paraId="576305E4" w14:textId="77777777" w:rsidTr="00E86FDB">
        <w:trPr>
          <w:jc w:val="center"/>
        </w:trPr>
        <w:tc>
          <w:tcPr>
            <w:tcW w:w="0" w:type="auto"/>
          </w:tcPr>
          <w:p w14:paraId="764CAACB" w14:textId="44757E3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lastRenderedPageBreak/>
              <w:t xml:space="preserve">Dejardins y </w:t>
            </w:r>
            <w:r w:rsidR="007C18F2" w:rsidRPr="00BF2343">
              <w:rPr>
                <w:rFonts w:ascii="Arial" w:hAnsi="Arial" w:cs="Arial"/>
                <w:sz w:val="20"/>
                <w:szCs w:val="20"/>
              </w:rPr>
              <w:t>col (</w:t>
            </w:r>
            <w:r w:rsidRPr="00BF2343">
              <w:rPr>
                <w:rFonts w:ascii="Arial" w:hAnsi="Arial" w:cs="Arial"/>
                <w:sz w:val="20"/>
                <w:szCs w:val="20"/>
              </w:rPr>
              <w:t>1994)</w:t>
            </w:r>
          </w:p>
        </w:tc>
        <w:tc>
          <w:tcPr>
            <w:tcW w:w="0" w:type="auto"/>
          </w:tcPr>
          <w:p w14:paraId="764126E7" w14:textId="34A15A29"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Nuevo León</w:t>
            </w:r>
          </w:p>
        </w:tc>
        <w:tc>
          <w:tcPr>
            <w:tcW w:w="0" w:type="auto"/>
          </w:tcPr>
          <w:p w14:paraId="3C7E612E"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10 a 9000 ppm</w:t>
            </w:r>
          </w:p>
        </w:tc>
      </w:tr>
      <w:tr w:rsidR="00E46CB2" w14:paraId="4E2D80BB" w14:textId="77777777" w:rsidTr="00E86FDB">
        <w:trPr>
          <w:jc w:val="center"/>
        </w:trPr>
        <w:tc>
          <w:tcPr>
            <w:tcW w:w="0" w:type="auto"/>
          </w:tcPr>
          <w:p w14:paraId="0CE5D00D"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Robledo y col (2001)</w:t>
            </w:r>
          </w:p>
        </w:tc>
        <w:tc>
          <w:tcPr>
            <w:tcW w:w="0" w:type="auto"/>
          </w:tcPr>
          <w:p w14:paraId="676B3C7E"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Nayarit</w:t>
            </w:r>
          </w:p>
        </w:tc>
        <w:tc>
          <w:tcPr>
            <w:tcW w:w="0" w:type="auto"/>
          </w:tcPr>
          <w:p w14:paraId="17FC8957"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0.27 a 5.6 ppm</w:t>
            </w:r>
          </w:p>
        </w:tc>
      </w:tr>
      <w:tr w:rsidR="00E46CB2" w14:paraId="10A2D034" w14:textId="77777777" w:rsidTr="00E86FDB">
        <w:trPr>
          <w:jc w:val="center"/>
        </w:trPr>
        <w:tc>
          <w:tcPr>
            <w:tcW w:w="0" w:type="auto"/>
          </w:tcPr>
          <w:p w14:paraId="42B073A1"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Cortez Rocha y cols (2003)</w:t>
            </w:r>
          </w:p>
        </w:tc>
        <w:tc>
          <w:tcPr>
            <w:tcW w:w="0" w:type="auto"/>
          </w:tcPr>
          <w:p w14:paraId="0650BE56"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 xml:space="preserve">Sonora </w:t>
            </w:r>
          </w:p>
        </w:tc>
        <w:tc>
          <w:tcPr>
            <w:tcW w:w="0" w:type="auto"/>
          </w:tcPr>
          <w:p w14:paraId="62A28A5C"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1.5-6.8ppm</w:t>
            </w:r>
          </w:p>
        </w:tc>
      </w:tr>
      <w:tr w:rsidR="00E46CB2" w14:paraId="0C30236C" w14:textId="77777777" w:rsidTr="00E86FDB">
        <w:trPr>
          <w:jc w:val="center"/>
        </w:trPr>
        <w:tc>
          <w:tcPr>
            <w:tcW w:w="0" w:type="auto"/>
          </w:tcPr>
          <w:p w14:paraId="511A1A21" w14:textId="4BC5054D"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 xml:space="preserve">Reyes- </w:t>
            </w:r>
            <w:r w:rsidR="007C18F2" w:rsidRPr="00BF2343">
              <w:rPr>
                <w:rFonts w:ascii="Arial" w:hAnsi="Arial" w:cs="Arial"/>
                <w:sz w:val="20"/>
                <w:szCs w:val="20"/>
              </w:rPr>
              <w:t>Velázquez</w:t>
            </w:r>
            <w:r w:rsidRPr="00BF2343">
              <w:rPr>
                <w:rFonts w:ascii="Arial" w:hAnsi="Arial" w:cs="Arial"/>
                <w:sz w:val="20"/>
                <w:szCs w:val="20"/>
              </w:rPr>
              <w:t xml:space="preserve"> y </w:t>
            </w:r>
            <w:r w:rsidR="007C18F2" w:rsidRPr="00BF2343">
              <w:rPr>
                <w:rFonts w:ascii="Arial" w:hAnsi="Arial" w:cs="Arial"/>
                <w:sz w:val="20"/>
                <w:szCs w:val="20"/>
              </w:rPr>
              <w:t>cols (</w:t>
            </w:r>
            <w:r w:rsidRPr="00BF2343">
              <w:rPr>
                <w:rFonts w:ascii="Arial" w:hAnsi="Arial" w:cs="Arial"/>
                <w:sz w:val="20"/>
                <w:szCs w:val="20"/>
              </w:rPr>
              <w:t>2008)</w:t>
            </w:r>
          </w:p>
        </w:tc>
        <w:tc>
          <w:tcPr>
            <w:tcW w:w="0" w:type="auto"/>
          </w:tcPr>
          <w:p w14:paraId="71694983"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Jalisco</w:t>
            </w:r>
          </w:p>
        </w:tc>
        <w:tc>
          <w:tcPr>
            <w:tcW w:w="0" w:type="auto"/>
          </w:tcPr>
          <w:p w14:paraId="6F362B83"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&lt;0.7ppm</w:t>
            </w:r>
          </w:p>
        </w:tc>
      </w:tr>
      <w:tr w:rsidR="00E46CB2" w14:paraId="61AD690F" w14:textId="77777777" w:rsidTr="00E86FDB">
        <w:trPr>
          <w:jc w:val="center"/>
        </w:trPr>
        <w:tc>
          <w:tcPr>
            <w:tcW w:w="0" w:type="auto"/>
          </w:tcPr>
          <w:p w14:paraId="2DCBB031"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Este estudio (maíz de consumo humano)</w:t>
            </w:r>
          </w:p>
        </w:tc>
        <w:tc>
          <w:tcPr>
            <w:tcW w:w="0" w:type="auto"/>
          </w:tcPr>
          <w:p w14:paraId="7A3305FD"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Nayarit</w:t>
            </w:r>
          </w:p>
        </w:tc>
        <w:tc>
          <w:tcPr>
            <w:tcW w:w="0" w:type="auto"/>
          </w:tcPr>
          <w:p w14:paraId="1279B1F9"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&lt;0.22 – 0.459 ppm</w:t>
            </w:r>
          </w:p>
        </w:tc>
      </w:tr>
      <w:tr w:rsidR="00E46CB2" w14:paraId="6E126FA2" w14:textId="77777777" w:rsidTr="00E86FDB">
        <w:trPr>
          <w:jc w:val="center"/>
        </w:trPr>
        <w:tc>
          <w:tcPr>
            <w:tcW w:w="0" w:type="auto"/>
          </w:tcPr>
          <w:p w14:paraId="54A448DA"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Este estudio (maíz forrajero)</w:t>
            </w:r>
          </w:p>
        </w:tc>
        <w:tc>
          <w:tcPr>
            <w:tcW w:w="0" w:type="auto"/>
          </w:tcPr>
          <w:p w14:paraId="3D8BBC52"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 xml:space="preserve">Nayarit </w:t>
            </w:r>
          </w:p>
        </w:tc>
        <w:tc>
          <w:tcPr>
            <w:tcW w:w="0" w:type="auto"/>
          </w:tcPr>
          <w:p w14:paraId="34C4698F" w14:textId="77777777" w:rsidR="00E46CB2" w:rsidRPr="00BF2343" w:rsidRDefault="00E46CB2" w:rsidP="000704BC">
            <w:pPr>
              <w:spacing w:line="360" w:lineRule="auto"/>
              <w:jc w:val="both"/>
              <w:rPr>
                <w:rFonts w:ascii="Arial" w:hAnsi="Arial" w:cs="Arial"/>
                <w:sz w:val="20"/>
                <w:szCs w:val="20"/>
              </w:rPr>
            </w:pPr>
            <w:r w:rsidRPr="00BF2343">
              <w:rPr>
                <w:rFonts w:ascii="Arial" w:hAnsi="Arial" w:cs="Arial"/>
                <w:sz w:val="20"/>
                <w:szCs w:val="20"/>
              </w:rPr>
              <w:t>No calculable- 4.00 ppm</w:t>
            </w:r>
          </w:p>
        </w:tc>
      </w:tr>
    </w:tbl>
    <w:p w14:paraId="610D82EA" w14:textId="4321CBC3" w:rsidR="005E15DD" w:rsidRPr="00EF0B61" w:rsidRDefault="00CC6FEC" w:rsidP="000704BC">
      <w:pPr>
        <w:spacing w:line="360" w:lineRule="auto"/>
        <w:jc w:val="both"/>
        <w:rPr>
          <w:rFonts w:ascii="Arial" w:hAnsi="Arial" w:cs="Arial"/>
          <w:sz w:val="24"/>
          <w:szCs w:val="24"/>
        </w:rPr>
      </w:pPr>
      <w:r>
        <w:rPr>
          <w:rFonts w:ascii="Arial" w:hAnsi="Arial" w:cs="Arial"/>
          <w:sz w:val="24"/>
          <w:szCs w:val="24"/>
        </w:rPr>
        <w:t xml:space="preserve"> </w:t>
      </w:r>
      <w:r w:rsidR="00246770" w:rsidRPr="00EF0B61">
        <w:rPr>
          <w:rFonts w:ascii="Arial" w:hAnsi="Arial" w:cs="Arial"/>
          <w:sz w:val="24"/>
          <w:szCs w:val="24"/>
        </w:rPr>
        <w:t xml:space="preserve">Aunque nuestro resultados arrojen que las muestras se encuentran dentro del rango de niveles permisibles por la FDA ,también demuestran que tanto el maíz de consumo humano como el maíz forrajero contienen la presencia de dichas toxinas lo  cual es preocupante ya que en Nayarit el maíz es la base alimenticia de la población, de igual manera estas fumonisinas se pueden acumular </w:t>
      </w:r>
      <w:r w:rsidR="00F76D13" w:rsidRPr="00EF0B61">
        <w:rPr>
          <w:rFonts w:ascii="Arial" w:hAnsi="Arial" w:cs="Arial"/>
          <w:sz w:val="24"/>
          <w:szCs w:val="24"/>
        </w:rPr>
        <w:t>en</w:t>
      </w:r>
      <w:r w:rsidR="00246770" w:rsidRPr="00EF0B61">
        <w:rPr>
          <w:rFonts w:ascii="Arial" w:hAnsi="Arial" w:cs="Arial"/>
          <w:sz w:val="24"/>
          <w:szCs w:val="24"/>
        </w:rPr>
        <w:t xml:space="preserve"> el tejido y músculos de los animales que consumen dicho maíz, generando un riesgo a la población debido a la toxicidad crónica que dichas sustancias generan; </w:t>
      </w:r>
      <w:r w:rsidR="00461D4B">
        <w:rPr>
          <w:rFonts w:ascii="Arial" w:hAnsi="Arial" w:cs="Arial"/>
          <w:sz w:val="24"/>
          <w:szCs w:val="24"/>
        </w:rPr>
        <w:t xml:space="preserve">es </w:t>
      </w:r>
      <w:r w:rsidR="00246770" w:rsidRPr="00EF0B61">
        <w:rPr>
          <w:rFonts w:ascii="Arial" w:hAnsi="Arial" w:cs="Arial"/>
          <w:sz w:val="24"/>
          <w:szCs w:val="24"/>
        </w:rPr>
        <w:t>importante destacar que en México no existe regulación</w:t>
      </w:r>
      <w:r w:rsidR="00461D4B">
        <w:rPr>
          <w:rFonts w:ascii="Arial" w:hAnsi="Arial" w:cs="Arial"/>
          <w:sz w:val="24"/>
          <w:szCs w:val="24"/>
        </w:rPr>
        <w:t xml:space="preserve"> alguna sobre estas toxicinas </w:t>
      </w:r>
      <w:r w:rsidR="00246770" w:rsidRPr="00EF0B61">
        <w:rPr>
          <w:rFonts w:ascii="Arial" w:hAnsi="Arial" w:cs="Arial"/>
          <w:sz w:val="24"/>
          <w:szCs w:val="24"/>
        </w:rPr>
        <w:t>lo que genera un riesgo latente ya que tanto productores como vendedores no están informados sobre las medidas que pueden reducir o eliminar estos meta</w:t>
      </w:r>
      <w:r w:rsidR="00F76D13" w:rsidRPr="00EF0B61">
        <w:rPr>
          <w:rFonts w:ascii="Arial" w:hAnsi="Arial" w:cs="Arial"/>
          <w:sz w:val="24"/>
          <w:szCs w:val="24"/>
        </w:rPr>
        <w:t xml:space="preserve">bolitos por lo tanto exponen a </w:t>
      </w:r>
      <w:r w:rsidR="00246770" w:rsidRPr="00EF0B61">
        <w:rPr>
          <w:rFonts w:ascii="Arial" w:hAnsi="Arial" w:cs="Arial"/>
          <w:sz w:val="24"/>
          <w:szCs w:val="24"/>
        </w:rPr>
        <w:t xml:space="preserve"> la población que consume sus productos .</w:t>
      </w:r>
    </w:p>
    <w:p w14:paraId="413F6CF4" w14:textId="2018520C" w:rsidR="00F76D13" w:rsidRDefault="00E46CB2" w:rsidP="000704BC">
      <w:pPr>
        <w:spacing w:line="360" w:lineRule="auto"/>
        <w:jc w:val="both"/>
        <w:rPr>
          <w:rFonts w:ascii="Arial" w:hAnsi="Arial" w:cs="Arial"/>
          <w:b/>
          <w:sz w:val="24"/>
          <w:szCs w:val="24"/>
        </w:rPr>
      </w:pPr>
      <w:r>
        <w:rPr>
          <w:rFonts w:ascii="Arial" w:hAnsi="Arial" w:cs="Arial"/>
          <w:b/>
          <w:sz w:val="24"/>
          <w:szCs w:val="24"/>
        </w:rPr>
        <w:t>6-C</w:t>
      </w:r>
      <w:r w:rsidR="00461D4B">
        <w:rPr>
          <w:rFonts w:ascii="Arial" w:hAnsi="Arial" w:cs="Arial"/>
          <w:b/>
          <w:sz w:val="24"/>
          <w:szCs w:val="24"/>
        </w:rPr>
        <w:t>onclusion</w:t>
      </w:r>
    </w:p>
    <w:p w14:paraId="688963DE" w14:textId="15759523" w:rsidR="00E46CB2" w:rsidRPr="00E46CB2" w:rsidRDefault="00E46CB2" w:rsidP="000704BC">
      <w:pPr>
        <w:spacing w:line="360" w:lineRule="auto"/>
        <w:jc w:val="both"/>
        <w:rPr>
          <w:rFonts w:ascii="Arial" w:hAnsi="Arial" w:cs="Arial"/>
          <w:sz w:val="24"/>
          <w:szCs w:val="24"/>
        </w:rPr>
      </w:pPr>
      <w:r>
        <w:rPr>
          <w:rFonts w:ascii="Arial" w:hAnsi="Arial" w:cs="Arial"/>
          <w:sz w:val="24"/>
          <w:szCs w:val="24"/>
        </w:rPr>
        <w:t xml:space="preserve">Una vez evaluadas las muestras se encontró que en el caso de maíz de consumo humano las concentraciones </w:t>
      </w:r>
      <w:r w:rsidR="00461D4B">
        <w:rPr>
          <w:rFonts w:ascii="Arial" w:hAnsi="Arial" w:cs="Arial"/>
          <w:sz w:val="24"/>
          <w:szCs w:val="24"/>
        </w:rPr>
        <w:t>mínimas</w:t>
      </w:r>
      <w:r>
        <w:rPr>
          <w:rFonts w:ascii="Arial" w:hAnsi="Arial" w:cs="Arial"/>
          <w:sz w:val="24"/>
          <w:szCs w:val="24"/>
        </w:rPr>
        <w:t xml:space="preserve"> de fumonisinas fueron &lt;0.22ppm, en cuanto al maíz forrajero las concentraciones se encontraron en niveles desde no detectables hasta 4ppm. En conclusión, para ambos casos los niveles de fumonisinas presentes se encuentran dentro de los límites establecidos por FDA en su programa de micotoxinas, pero aun así es necesario la implementación de normativas a nivel nacional, y la </w:t>
      </w:r>
      <w:r w:rsidR="00461D4B">
        <w:rPr>
          <w:rFonts w:ascii="Arial" w:hAnsi="Arial" w:cs="Arial"/>
          <w:sz w:val="24"/>
          <w:szCs w:val="24"/>
        </w:rPr>
        <w:t>realización</w:t>
      </w:r>
      <w:r>
        <w:rPr>
          <w:rFonts w:ascii="Arial" w:hAnsi="Arial" w:cs="Arial"/>
          <w:sz w:val="24"/>
          <w:szCs w:val="24"/>
        </w:rPr>
        <w:t xml:space="preserve"> de estudios </w:t>
      </w:r>
      <w:r w:rsidR="00461D4B">
        <w:rPr>
          <w:rFonts w:ascii="Arial" w:hAnsi="Arial" w:cs="Arial"/>
          <w:sz w:val="24"/>
          <w:szCs w:val="24"/>
        </w:rPr>
        <w:t>más</w:t>
      </w:r>
      <w:r>
        <w:rPr>
          <w:rFonts w:ascii="Arial" w:hAnsi="Arial" w:cs="Arial"/>
          <w:sz w:val="24"/>
          <w:szCs w:val="24"/>
        </w:rPr>
        <w:t xml:space="preserve"> detallados de los niveles de estas toxinas en distintas matrices de importancia </w:t>
      </w:r>
      <w:r w:rsidR="00461D4B">
        <w:rPr>
          <w:rFonts w:ascii="Arial" w:hAnsi="Arial" w:cs="Arial"/>
          <w:sz w:val="24"/>
          <w:szCs w:val="24"/>
        </w:rPr>
        <w:t>agroalimentaria</w:t>
      </w:r>
      <w:r>
        <w:rPr>
          <w:rFonts w:ascii="Arial" w:hAnsi="Arial" w:cs="Arial"/>
          <w:sz w:val="24"/>
          <w:szCs w:val="24"/>
        </w:rPr>
        <w:t>.</w:t>
      </w:r>
    </w:p>
    <w:p w14:paraId="6A196C6F" w14:textId="3830D825" w:rsidR="005E15DD" w:rsidRPr="00EF0B61" w:rsidRDefault="00461D4B" w:rsidP="000704BC">
      <w:pPr>
        <w:spacing w:line="360" w:lineRule="auto"/>
        <w:jc w:val="both"/>
        <w:rPr>
          <w:rFonts w:ascii="Arial" w:hAnsi="Arial" w:cs="Arial"/>
          <w:sz w:val="24"/>
          <w:szCs w:val="24"/>
        </w:rPr>
      </w:pPr>
      <w:r>
        <w:rPr>
          <w:rFonts w:ascii="Arial" w:hAnsi="Arial" w:cs="Arial"/>
          <w:sz w:val="24"/>
          <w:szCs w:val="24"/>
        </w:rPr>
        <w:t xml:space="preserve">Referencias </w:t>
      </w:r>
    </w:p>
    <w:p w14:paraId="796F399C"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rPr>
        <w:t>Ramos., A, J. (2011). Micotoxinas y Micotoxicosis.Madrid España: AMV EDICIONES.</w:t>
      </w:r>
    </w:p>
    <w:p w14:paraId="3B021B32"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rPr>
        <w:t xml:space="preserve">Sánchez, L. T., &amp; Carrillo, L. L. (2010). </w:t>
      </w:r>
      <w:r w:rsidRPr="00EF0B61">
        <w:rPr>
          <w:rFonts w:ascii="Arial" w:hAnsi="Arial" w:cs="Arial"/>
          <w:sz w:val="24"/>
          <w:szCs w:val="24"/>
          <w:lang w:val="en-US"/>
        </w:rPr>
        <w:t xml:space="preserve">Fumonisin in take and human health. </w:t>
      </w:r>
      <w:r w:rsidRPr="00EF0B61">
        <w:rPr>
          <w:rFonts w:ascii="Arial" w:hAnsi="Arial" w:cs="Arial"/>
          <w:sz w:val="24"/>
          <w:szCs w:val="24"/>
        </w:rPr>
        <w:t>Salud Publica de México, 34-48.</w:t>
      </w:r>
    </w:p>
    <w:p w14:paraId="7C4B37B9" w14:textId="77777777" w:rsidR="005E15DD" w:rsidRPr="00EF0B61" w:rsidRDefault="005E15DD" w:rsidP="000704BC">
      <w:pPr>
        <w:pStyle w:val="Prrafodelista"/>
        <w:numPr>
          <w:ilvl w:val="0"/>
          <w:numId w:val="3"/>
        </w:numPr>
        <w:spacing w:line="360" w:lineRule="auto"/>
        <w:jc w:val="both"/>
        <w:rPr>
          <w:rFonts w:ascii="Arial" w:hAnsi="Arial" w:cs="Arial"/>
          <w:sz w:val="24"/>
          <w:szCs w:val="24"/>
          <w:lang w:val="en-US"/>
        </w:rPr>
      </w:pPr>
      <w:r w:rsidRPr="00EF0B61">
        <w:rPr>
          <w:rFonts w:ascii="Arial" w:hAnsi="Arial" w:cs="Arial"/>
          <w:sz w:val="24"/>
          <w:szCs w:val="24"/>
          <w:lang w:val="en-US"/>
        </w:rPr>
        <w:lastRenderedPageBreak/>
        <w:t>Zain, M. E. (2011). Impact of mycotoxins on humans and animals. Journal of Saudi Chemical Society, 129-114.</w:t>
      </w:r>
    </w:p>
    <w:p w14:paraId="6CA5BB27"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rPr>
        <w:t>Martínez Cardoza Y. (2016). Detección de hongos en semillas de maíz. (tesis de licenciatura). Universidad Autónoma Agraria Antonio Narro, Coahuila México.</w:t>
      </w:r>
    </w:p>
    <w:p w14:paraId="2D09A641"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rPr>
        <w:t>Caamaño Caao A. (2013). Prevención da contaminación con fumonisinas no millo. (memorias de doctorado). Universidad de Vigo, España.</w:t>
      </w:r>
    </w:p>
    <w:p w14:paraId="663BD26B"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rPr>
        <w:t>Franco, A. (2016). Manual de manejo higiénico de los alimentos. México: Amos Instituto Superior en Salud.</w:t>
      </w:r>
    </w:p>
    <w:p w14:paraId="200445AA"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lang w:val="en-US"/>
        </w:rPr>
        <w:t xml:space="preserve">IARC (2002). Some traditional herbal medicines, some mycotoxins, naphthalene and styrene. In: Monographs on the evaluation of carcinogenic risks to humans. </w:t>
      </w:r>
      <w:r w:rsidRPr="00EF0B61">
        <w:rPr>
          <w:rFonts w:ascii="Arial" w:hAnsi="Arial" w:cs="Arial"/>
          <w:sz w:val="24"/>
          <w:szCs w:val="24"/>
        </w:rPr>
        <w:t>Lyon (France): IARC Press; p. 301–66.</w:t>
      </w:r>
    </w:p>
    <w:p w14:paraId="5EF148B9" w14:textId="77777777" w:rsidR="005E15DD" w:rsidRPr="00EF0B61" w:rsidRDefault="005E15DD" w:rsidP="000704BC">
      <w:pPr>
        <w:pStyle w:val="Prrafodelista"/>
        <w:numPr>
          <w:ilvl w:val="0"/>
          <w:numId w:val="3"/>
        </w:numPr>
        <w:spacing w:line="360" w:lineRule="auto"/>
        <w:jc w:val="both"/>
        <w:rPr>
          <w:rFonts w:ascii="Arial" w:hAnsi="Arial" w:cs="Arial"/>
          <w:sz w:val="24"/>
          <w:szCs w:val="24"/>
        </w:rPr>
      </w:pPr>
      <w:r w:rsidRPr="00EF0B61">
        <w:rPr>
          <w:rFonts w:ascii="Arial" w:hAnsi="Arial" w:cs="Arial"/>
          <w:sz w:val="24"/>
          <w:szCs w:val="24"/>
          <w:lang w:val="en-US"/>
        </w:rPr>
        <w:t xml:space="preserve">Chu FS&amp; Li GY. (1994) Simultaneous occurrence of fumonisin B-1 and other mycotoxins in mouldy corn collected from the Peoples Republic of China in regions with high incidences of esophageal cancer. </w:t>
      </w:r>
      <w:r w:rsidRPr="00EF0B61">
        <w:rPr>
          <w:rFonts w:ascii="Arial" w:hAnsi="Arial" w:cs="Arial"/>
          <w:sz w:val="24"/>
          <w:szCs w:val="24"/>
        </w:rPr>
        <w:t>Appl Environ Microbiol ;60:847–52</w:t>
      </w:r>
    </w:p>
    <w:p w14:paraId="697FC35C" w14:textId="77777777" w:rsidR="005E15DD" w:rsidRPr="00EF0B61" w:rsidRDefault="005E15DD" w:rsidP="000704BC">
      <w:pPr>
        <w:pStyle w:val="Prrafodelista"/>
        <w:numPr>
          <w:ilvl w:val="0"/>
          <w:numId w:val="3"/>
        </w:numPr>
        <w:spacing w:line="360" w:lineRule="auto"/>
        <w:jc w:val="both"/>
        <w:rPr>
          <w:rFonts w:ascii="Arial" w:hAnsi="Arial" w:cs="Arial"/>
          <w:sz w:val="24"/>
          <w:szCs w:val="24"/>
          <w:lang w:val="en-US"/>
        </w:rPr>
      </w:pPr>
      <w:r w:rsidRPr="00EF0B61">
        <w:rPr>
          <w:rFonts w:ascii="Arial" w:hAnsi="Arial" w:cs="Arial"/>
          <w:sz w:val="24"/>
          <w:szCs w:val="24"/>
          <w:lang w:val="en-US"/>
        </w:rPr>
        <w:tab/>
        <w:t>Guo,et al. (2016) Fusarium species identification and fumonisin production in maize kernels from Shandong Province, China, from 2012 to 2014.China: TAYLOR &amp; FRANCIS LTD, 2-4 PARK SQUARE, MILTON PARK, ABINGDON OR14 4RN, OXON, ENGLAND.</w:t>
      </w:r>
    </w:p>
    <w:p w14:paraId="58C80957" w14:textId="77777777" w:rsidR="005E15DD" w:rsidRPr="00EF0B61" w:rsidRDefault="005E15DD" w:rsidP="000704BC">
      <w:pPr>
        <w:pStyle w:val="Prrafodelista"/>
        <w:numPr>
          <w:ilvl w:val="0"/>
          <w:numId w:val="3"/>
        </w:numPr>
        <w:spacing w:line="360" w:lineRule="auto"/>
        <w:jc w:val="both"/>
        <w:rPr>
          <w:rFonts w:ascii="Arial" w:hAnsi="Arial" w:cs="Arial"/>
          <w:sz w:val="24"/>
          <w:szCs w:val="24"/>
          <w:shd w:val="clear" w:color="auto" w:fill="FDFDFD"/>
        </w:rPr>
      </w:pPr>
      <w:r w:rsidRPr="00EF0B61">
        <w:rPr>
          <w:rFonts w:ascii="Arial" w:hAnsi="Arial" w:cs="Arial"/>
          <w:sz w:val="24"/>
          <w:szCs w:val="24"/>
          <w:shd w:val="clear" w:color="auto" w:fill="FDFDFD"/>
          <w:lang w:val="en-US"/>
        </w:rPr>
        <w:t>Magro, S. L., Campaniello, M., Nardiello, D. &amp; Muscarella, M. (2011), Assessment of Fumonisins B</w:t>
      </w:r>
      <w:r w:rsidRPr="00EF0B61">
        <w:rPr>
          <w:rFonts w:ascii="Arial" w:hAnsi="Arial" w:cs="Arial"/>
          <w:sz w:val="24"/>
          <w:szCs w:val="24"/>
          <w:bdr w:val="none" w:sz="0" w:space="0" w:color="auto" w:frame="1"/>
          <w:shd w:val="clear" w:color="auto" w:fill="FDFDFD"/>
          <w:vertAlign w:val="subscript"/>
          <w:lang w:val="en-US"/>
        </w:rPr>
        <w:t>1</w:t>
      </w:r>
      <w:r w:rsidRPr="00EF0B61">
        <w:rPr>
          <w:rStyle w:val="apple-converted-space"/>
          <w:rFonts w:ascii="Arial" w:hAnsi="Arial" w:cs="Arial"/>
          <w:sz w:val="24"/>
          <w:szCs w:val="24"/>
          <w:shd w:val="clear" w:color="auto" w:fill="FDFDFD"/>
          <w:lang w:val="en-US"/>
        </w:rPr>
        <w:t> </w:t>
      </w:r>
      <w:r w:rsidRPr="00EF0B61">
        <w:rPr>
          <w:rFonts w:ascii="Arial" w:hAnsi="Arial" w:cs="Arial"/>
          <w:sz w:val="24"/>
          <w:szCs w:val="24"/>
          <w:shd w:val="clear" w:color="auto" w:fill="FDFDFD"/>
          <w:lang w:val="en-US"/>
        </w:rPr>
        <w:t>and B</w:t>
      </w:r>
      <w:r w:rsidRPr="00EF0B61">
        <w:rPr>
          <w:rFonts w:ascii="Arial" w:hAnsi="Arial" w:cs="Arial"/>
          <w:sz w:val="24"/>
          <w:szCs w:val="24"/>
          <w:bdr w:val="none" w:sz="0" w:space="0" w:color="auto" w:frame="1"/>
          <w:shd w:val="clear" w:color="auto" w:fill="FDFDFD"/>
          <w:vertAlign w:val="subscript"/>
          <w:lang w:val="en-US"/>
        </w:rPr>
        <w:t>2</w:t>
      </w:r>
      <w:r w:rsidRPr="00EF0B61">
        <w:rPr>
          <w:rStyle w:val="apple-converted-space"/>
          <w:rFonts w:ascii="Arial" w:hAnsi="Arial" w:cs="Arial"/>
          <w:sz w:val="24"/>
          <w:szCs w:val="24"/>
          <w:shd w:val="clear" w:color="auto" w:fill="FDFDFD"/>
          <w:lang w:val="en-US"/>
        </w:rPr>
        <w:t> </w:t>
      </w:r>
      <w:r w:rsidRPr="00EF0B61">
        <w:rPr>
          <w:rFonts w:ascii="Arial" w:hAnsi="Arial" w:cs="Arial"/>
          <w:sz w:val="24"/>
          <w:szCs w:val="24"/>
          <w:shd w:val="clear" w:color="auto" w:fill="FDFDFD"/>
          <w:lang w:val="en-US"/>
        </w:rPr>
        <w:t xml:space="preserve">Levels in Commercial Maize-Based Food Products by Liquid Chromatography with Fluorimetric Detection and Postcolumn Chemical Derivatization. </w:t>
      </w:r>
      <w:r w:rsidRPr="00EF0B61">
        <w:rPr>
          <w:rFonts w:ascii="Arial" w:hAnsi="Arial" w:cs="Arial"/>
          <w:sz w:val="24"/>
          <w:szCs w:val="24"/>
          <w:shd w:val="clear" w:color="auto" w:fill="FDFDFD"/>
        </w:rPr>
        <w:t>Journal of Food Science,,</w:t>
      </w:r>
    </w:p>
    <w:p w14:paraId="0D1B3975" w14:textId="19AEB803" w:rsidR="005E15DD" w:rsidRPr="00EF0B61" w:rsidRDefault="005E15DD" w:rsidP="000704BC">
      <w:pPr>
        <w:pStyle w:val="Prrafodelista"/>
        <w:numPr>
          <w:ilvl w:val="0"/>
          <w:numId w:val="3"/>
        </w:numPr>
        <w:spacing w:line="360" w:lineRule="auto"/>
        <w:jc w:val="both"/>
        <w:rPr>
          <w:rFonts w:ascii="Arial" w:hAnsi="Arial" w:cs="Arial"/>
          <w:sz w:val="24"/>
          <w:szCs w:val="24"/>
          <w:shd w:val="clear" w:color="auto" w:fill="FDFDFD"/>
        </w:rPr>
      </w:pPr>
      <w:r w:rsidRPr="00EF0B61">
        <w:rPr>
          <w:rFonts w:ascii="Arial" w:hAnsi="Arial" w:cs="Arial"/>
          <w:sz w:val="24"/>
          <w:szCs w:val="24"/>
          <w:shd w:val="clear" w:color="auto" w:fill="FDFDFD"/>
        </w:rPr>
        <w:t>Rodrigues ,et al(2002).</w:t>
      </w:r>
      <w:r w:rsidRPr="00EF0B61">
        <w:rPr>
          <w:rFonts w:ascii="Arial" w:hAnsi="Arial" w:cs="Arial"/>
          <w:sz w:val="24"/>
          <w:szCs w:val="24"/>
        </w:rPr>
        <w:t xml:space="preserve"> </w:t>
      </w:r>
      <w:r w:rsidRPr="00EF0B61">
        <w:rPr>
          <w:rFonts w:ascii="Arial" w:hAnsi="Arial" w:cs="Arial"/>
          <w:sz w:val="24"/>
          <w:szCs w:val="24"/>
          <w:shd w:val="clear" w:color="auto" w:fill="FDFDFD"/>
        </w:rPr>
        <w:t>Aspectos relacionados à ocorrência e mecanismo de ação de fumonisinas:</w:t>
      </w:r>
      <w:r w:rsidRPr="00EF0B61">
        <w:rPr>
          <w:rFonts w:ascii="Arial" w:hAnsi="Arial" w:cs="Arial"/>
          <w:sz w:val="24"/>
          <w:szCs w:val="24"/>
        </w:rPr>
        <w:t xml:space="preserve"> Ciência Rural Santa Maria.</w:t>
      </w:r>
    </w:p>
    <w:p w14:paraId="1012D0ED" w14:textId="4302B0F2" w:rsidR="005E3869" w:rsidRPr="00EF0B61" w:rsidRDefault="005E3869" w:rsidP="000704BC">
      <w:pPr>
        <w:pStyle w:val="Prrafodelista"/>
        <w:numPr>
          <w:ilvl w:val="0"/>
          <w:numId w:val="3"/>
        </w:numPr>
        <w:spacing w:line="360" w:lineRule="auto"/>
        <w:jc w:val="both"/>
        <w:rPr>
          <w:rFonts w:ascii="Arial" w:hAnsi="Arial" w:cs="Arial"/>
          <w:sz w:val="24"/>
          <w:szCs w:val="24"/>
          <w:shd w:val="clear" w:color="auto" w:fill="FDFDFD"/>
        </w:rPr>
      </w:pPr>
      <w:r w:rsidRPr="00EF0B61">
        <w:rPr>
          <w:rFonts w:ascii="Arial" w:hAnsi="Arial" w:cs="Arial"/>
          <w:sz w:val="24"/>
          <w:szCs w:val="24"/>
          <w:shd w:val="clear" w:color="auto" w:fill="FDFDFD"/>
        </w:rPr>
        <w:t>NOM -111-ssa1-1994, bienes y servicios. método para la cuenta de mohos y levaduras en alimentos.</w:t>
      </w:r>
    </w:p>
    <w:p w14:paraId="652392F3" w14:textId="09E5E1B8" w:rsidR="005C0509" w:rsidRPr="00E86FDB" w:rsidRDefault="00F76D13" w:rsidP="000704BC">
      <w:pPr>
        <w:pStyle w:val="Prrafodelista"/>
        <w:numPr>
          <w:ilvl w:val="0"/>
          <w:numId w:val="3"/>
        </w:numPr>
        <w:spacing w:line="360" w:lineRule="auto"/>
        <w:jc w:val="both"/>
        <w:rPr>
          <w:rFonts w:ascii="Arial" w:hAnsi="Arial" w:cs="Arial"/>
          <w:sz w:val="24"/>
          <w:szCs w:val="24"/>
          <w:shd w:val="clear" w:color="auto" w:fill="FDFDFD"/>
          <w:lang w:val="en-US"/>
        </w:rPr>
      </w:pPr>
      <w:r w:rsidRPr="00E86FDB">
        <w:rPr>
          <w:rFonts w:ascii="Arial" w:hAnsi="Arial" w:cs="Arial"/>
          <w:sz w:val="24"/>
          <w:szCs w:val="24"/>
          <w:shd w:val="clear" w:color="auto" w:fill="FDFDFD"/>
          <w:lang w:val="en-US"/>
        </w:rPr>
        <w:t>Nguyen H. P.,Nguyen Q.T., Brian O.,&amp; Hans P (2015).</w:t>
      </w:r>
      <w:r w:rsidRPr="00E86FDB">
        <w:rPr>
          <w:rFonts w:ascii="Arial" w:hAnsi="Arial" w:cs="Arial"/>
          <w:sz w:val="24"/>
          <w:szCs w:val="24"/>
          <w:lang w:val="en-US"/>
        </w:rPr>
        <w:t xml:space="preserve"> </w:t>
      </w:r>
      <w:r w:rsidRPr="00E86FDB">
        <w:rPr>
          <w:rFonts w:ascii="Arial" w:hAnsi="Arial" w:cs="Arial"/>
          <w:sz w:val="24"/>
          <w:szCs w:val="24"/>
          <w:shd w:val="clear" w:color="auto" w:fill="FDFDFD"/>
          <w:lang w:val="en-US"/>
        </w:rPr>
        <w:t>Aflatoxins, Fumonisins and Zearalenone Contamination of Maize in the Southeastern and Central Highlands Provinces of Vietnam;MDPI Agriculture.</w:t>
      </w:r>
    </w:p>
    <w:sectPr w:rsidR="005C0509" w:rsidRPr="00E86FDB" w:rsidSect="000704BC">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1F5A6" w14:textId="77777777" w:rsidR="00165E37" w:rsidRDefault="00165E37" w:rsidP="001E5952">
      <w:pPr>
        <w:spacing w:after="0" w:line="240" w:lineRule="auto"/>
      </w:pPr>
      <w:r>
        <w:separator/>
      </w:r>
    </w:p>
  </w:endnote>
  <w:endnote w:type="continuationSeparator" w:id="0">
    <w:p w14:paraId="2C3F2D27" w14:textId="77777777" w:rsidR="00165E37" w:rsidRDefault="00165E37" w:rsidP="001E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96BF" w14:textId="77777777" w:rsidR="00165E37" w:rsidRDefault="00165E37" w:rsidP="001E5952">
      <w:pPr>
        <w:spacing w:after="0" w:line="240" w:lineRule="auto"/>
      </w:pPr>
      <w:r>
        <w:separator/>
      </w:r>
    </w:p>
  </w:footnote>
  <w:footnote w:type="continuationSeparator" w:id="0">
    <w:p w14:paraId="5120C58F" w14:textId="77777777" w:rsidR="00165E37" w:rsidRDefault="00165E37" w:rsidP="001E5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51DA"/>
    <w:multiLevelType w:val="hybridMultilevel"/>
    <w:tmpl w:val="C13816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F3109B"/>
    <w:multiLevelType w:val="hybridMultilevel"/>
    <w:tmpl w:val="58064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A47D13"/>
    <w:multiLevelType w:val="hybridMultilevel"/>
    <w:tmpl w:val="0F4E8DD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1883CE5"/>
    <w:multiLevelType w:val="hybridMultilevel"/>
    <w:tmpl w:val="153C2426"/>
    <w:lvl w:ilvl="0" w:tplc="A6FC96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00"/>
    <w:rsid w:val="000704BC"/>
    <w:rsid w:val="00084111"/>
    <w:rsid w:val="000A7130"/>
    <w:rsid w:val="000B0778"/>
    <w:rsid w:val="000C2900"/>
    <w:rsid w:val="000C7760"/>
    <w:rsid w:val="000F1589"/>
    <w:rsid w:val="00135FC5"/>
    <w:rsid w:val="00165E37"/>
    <w:rsid w:val="00171990"/>
    <w:rsid w:val="001E11F9"/>
    <w:rsid w:val="001E5952"/>
    <w:rsid w:val="00227709"/>
    <w:rsid w:val="00246770"/>
    <w:rsid w:val="002A54E0"/>
    <w:rsid w:val="002B5D02"/>
    <w:rsid w:val="00324FA2"/>
    <w:rsid w:val="003756D0"/>
    <w:rsid w:val="003E4213"/>
    <w:rsid w:val="0045471F"/>
    <w:rsid w:val="00461D4B"/>
    <w:rsid w:val="004822A2"/>
    <w:rsid w:val="0048325A"/>
    <w:rsid w:val="00485FAC"/>
    <w:rsid w:val="00494A0A"/>
    <w:rsid w:val="004B2AFF"/>
    <w:rsid w:val="005461EC"/>
    <w:rsid w:val="00557B13"/>
    <w:rsid w:val="005B6F41"/>
    <w:rsid w:val="005B7EA8"/>
    <w:rsid w:val="005C0509"/>
    <w:rsid w:val="005E15DD"/>
    <w:rsid w:val="005E3869"/>
    <w:rsid w:val="00623891"/>
    <w:rsid w:val="006C178C"/>
    <w:rsid w:val="006E79E9"/>
    <w:rsid w:val="007209FF"/>
    <w:rsid w:val="007368BC"/>
    <w:rsid w:val="00775F47"/>
    <w:rsid w:val="00786490"/>
    <w:rsid w:val="007C18F2"/>
    <w:rsid w:val="007F04E1"/>
    <w:rsid w:val="008840B5"/>
    <w:rsid w:val="008C2A78"/>
    <w:rsid w:val="00917B42"/>
    <w:rsid w:val="00955B51"/>
    <w:rsid w:val="00AB2ED2"/>
    <w:rsid w:val="00B063B3"/>
    <w:rsid w:val="00B40E28"/>
    <w:rsid w:val="00BC0B57"/>
    <w:rsid w:val="00BC56BF"/>
    <w:rsid w:val="00BF2343"/>
    <w:rsid w:val="00C05265"/>
    <w:rsid w:val="00C47BCC"/>
    <w:rsid w:val="00CC6FEC"/>
    <w:rsid w:val="00CD6747"/>
    <w:rsid w:val="00D12ADF"/>
    <w:rsid w:val="00D30E0A"/>
    <w:rsid w:val="00D6460D"/>
    <w:rsid w:val="00D71E05"/>
    <w:rsid w:val="00D83C53"/>
    <w:rsid w:val="00DE4854"/>
    <w:rsid w:val="00DE6778"/>
    <w:rsid w:val="00E46CB2"/>
    <w:rsid w:val="00E47915"/>
    <w:rsid w:val="00E63AA6"/>
    <w:rsid w:val="00E74F23"/>
    <w:rsid w:val="00E86FDB"/>
    <w:rsid w:val="00EF0B61"/>
    <w:rsid w:val="00F103C3"/>
    <w:rsid w:val="00F7562B"/>
    <w:rsid w:val="00F76D13"/>
    <w:rsid w:val="00FC3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D184"/>
  <w15:docId w15:val="{B72D8572-64B7-4C2A-9900-D8DF92A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05265"/>
  </w:style>
  <w:style w:type="paragraph" w:styleId="NormalWeb">
    <w:name w:val="Normal (Web)"/>
    <w:basedOn w:val="Normal"/>
    <w:uiPriority w:val="99"/>
    <w:unhideWhenUsed/>
    <w:rsid w:val="00C052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05265"/>
    <w:pPr>
      <w:ind w:left="720"/>
      <w:contextualSpacing/>
    </w:pPr>
  </w:style>
  <w:style w:type="table" w:styleId="Tablaconcuadrcula">
    <w:name w:val="Table Grid"/>
    <w:basedOn w:val="Tablanormal"/>
    <w:uiPriority w:val="39"/>
    <w:rsid w:val="00720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51">
    <w:name w:val="Tabla normal 51"/>
    <w:basedOn w:val="Tablanormal"/>
    <w:uiPriority w:val="45"/>
    <w:rsid w:val="007209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7209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7209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lanormal"/>
    <w:uiPriority w:val="99"/>
    <w:rsid w:val="007209FF"/>
    <w:pPr>
      <w:spacing w:after="0" w:line="240" w:lineRule="auto"/>
    </w:pPr>
    <w:tblPr>
      <w:tblInd w:w="0" w:type="dxa"/>
      <w:tblCellMar>
        <w:top w:w="0" w:type="dxa"/>
        <w:left w:w="108" w:type="dxa"/>
        <w:bottom w:w="0" w:type="dxa"/>
        <w:right w:w="108" w:type="dxa"/>
      </w:tblCellMar>
    </w:tblPr>
  </w:style>
  <w:style w:type="paragraph" w:styleId="Encabezado">
    <w:name w:val="header"/>
    <w:basedOn w:val="Normal"/>
    <w:link w:val="EncabezadoCar"/>
    <w:uiPriority w:val="99"/>
    <w:unhideWhenUsed/>
    <w:rsid w:val="001E59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952"/>
  </w:style>
  <w:style w:type="paragraph" w:styleId="Piedepgina">
    <w:name w:val="footer"/>
    <w:basedOn w:val="Normal"/>
    <w:link w:val="PiedepginaCar"/>
    <w:uiPriority w:val="99"/>
    <w:unhideWhenUsed/>
    <w:rsid w:val="001E59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952"/>
  </w:style>
  <w:style w:type="character" w:styleId="Hipervnculo">
    <w:name w:val="Hyperlink"/>
    <w:basedOn w:val="Fuentedeprrafopredeter"/>
    <w:uiPriority w:val="99"/>
    <w:unhideWhenUsed/>
    <w:rsid w:val="008C2A78"/>
    <w:rPr>
      <w:color w:val="0563C1" w:themeColor="hyperlink"/>
      <w:u w:val="single"/>
    </w:rPr>
  </w:style>
  <w:style w:type="character" w:styleId="Hipervnculovisitado">
    <w:name w:val="FollowedHyperlink"/>
    <w:basedOn w:val="Fuentedeprrafopredeter"/>
    <w:uiPriority w:val="99"/>
    <w:semiHidden/>
    <w:unhideWhenUsed/>
    <w:rsid w:val="00DE6778"/>
    <w:rPr>
      <w:color w:val="954F72" w:themeColor="followedHyperlink"/>
      <w:u w:val="single"/>
    </w:rPr>
  </w:style>
  <w:style w:type="paragraph" w:styleId="Textodeglobo">
    <w:name w:val="Balloon Text"/>
    <w:basedOn w:val="Normal"/>
    <w:link w:val="TextodegloboCar"/>
    <w:uiPriority w:val="99"/>
    <w:semiHidden/>
    <w:unhideWhenUsed/>
    <w:rsid w:val="00E86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Moh11</b:Tag>
    <b:SourceType>JournalArticle</b:SourceType>
    <b:Guid>{21B7B4F7-99A2-4398-A117-B6B68C06E4D6}</b:Guid>
    <b:Title>Impact of mycotoxins on humans and animals</b:Title>
    <b:Year>2011</b:Year>
    <b:Author>
      <b:Author>
        <b:NameList>
          <b:Person>
            <b:Last>Zain</b:Last>
            <b:First>Mohamed</b:First>
            <b:Middle>E.</b:Middle>
          </b:Person>
        </b:NameList>
      </b:Author>
    </b:Author>
    <b:JournalName>Journal of Saudi Chemical Society</b:JournalName>
    <b:Pages>129-114</b:Pages>
    <b:RefOrder>2</b:RefOrder>
  </b:Source>
  <b:Source>
    <b:Tag>SAG16</b:Tag>
    <b:SourceType>Book</b:SourceType>
    <b:Guid>{F2784513-9873-4591-BAEA-E233E2EF9BA6}</b:Guid>
    <b:Author>
      <b:Author>
        <b:NameList>
          <b:Person>
            <b:Last>SAGARPA</b:Last>
          </b:Person>
        </b:NameList>
      </b:Author>
    </b:Author>
    <b:Title>Atlas agroalimentario 2016</b:Title>
    <b:Year>2016</b:Year>
    <b:City>Tepic,Nayarit</b:City>
    <b:Publisher>Servicio de Información Agroalimentaria y Pesquera</b:Publisher>
    <b:RefOrder>4</b:RefOrder>
  </b:Source>
</b:Sources>
</file>

<file path=customXml/itemProps1.xml><?xml version="1.0" encoding="utf-8"?>
<ds:datastoreItem xmlns:ds="http://schemas.openxmlformats.org/officeDocument/2006/customXml" ds:itemID="{48ECDB2C-A00C-4223-8ADE-73330135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2802</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RReEyYnNaA RroOblEeDO</dc:creator>
  <cp:lastModifiedBy>regina carrillo villalobos</cp:lastModifiedBy>
  <cp:revision>2</cp:revision>
  <dcterms:created xsi:type="dcterms:W3CDTF">2017-08-30T19:19:00Z</dcterms:created>
  <dcterms:modified xsi:type="dcterms:W3CDTF">2017-08-30T19:19:00Z</dcterms:modified>
</cp:coreProperties>
</file>