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694" w:rsidRPr="00EB6020" w:rsidRDefault="005F51C5" w:rsidP="00215EAE">
      <w:pPr>
        <w:ind w:left="-284" w:firstLine="284"/>
        <w:jc w:val="both"/>
        <w:rPr>
          <w:rFonts w:ascii="Arial" w:hAnsi="Arial" w:cs="Arial"/>
          <w:b/>
        </w:rPr>
      </w:pPr>
      <w:r>
        <w:rPr>
          <w:noProof/>
          <w:lang w:eastAsia="es-MX"/>
        </w:rPr>
        <w:drawing>
          <wp:anchor distT="0" distB="0" distL="114300" distR="114300" simplePos="0" relativeHeight="251666432" behindDoc="0" locked="0" layoutInCell="1" allowOverlap="1">
            <wp:simplePos x="0" y="0"/>
            <wp:positionH relativeFrom="column">
              <wp:posOffset>1400175</wp:posOffset>
            </wp:positionH>
            <wp:positionV relativeFrom="paragraph">
              <wp:posOffset>-611505</wp:posOffset>
            </wp:positionV>
            <wp:extent cx="2576195" cy="1133475"/>
            <wp:effectExtent l="0" t="0" r="0" b="0"/>
            <wp:wrapSquare wrapText="bothSides"/>
            <wp:docPr id="14" name="Imagen 14" descr="Resultado de imagen para Cocy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ocyt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19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0" locked="0" layoutInCell="1" allowOverlap="1" wp14:anchorId="2F01B0F4" wp14:editId="6EEE3CF5">
            <wp:simplePos x="0" y="0"/>
            <wp:positionH relativeFrom="column">
              <wp:posOffset>-243840</wp:posOffset>
            </wp:positionH>
            <wp:positionV relativeFrom="paragraph">
              <wp:posOffset>-742315</wp:posOffset>
            </wp:positionV>
            <wp:extent cx="1149985" cy="1144905"/>
            <wp:effectExtent l="0" t="0" r="0" b="0"/>
            <wp:wrapSquare wrapText="bothSides"/>
            <wp:docPr id="10" name="Imagen 10" descr="Resultado de imagen para universidad autónoma de nay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universidad autónoma de nayar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98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4384" behindDoc="0" locked="0" layoutInCell="1" allowOverlap="1" wp14:anchorId="34AF6C12" wp14:editId="48D1ADB4">
            <wp:simplePos x="0" y="0"/>
            <wp:positionH relativeFrom="column">
              <wp:posOffset>4285615</wp:posOffset>
            </wp:positionH>
            <wp:positionV relativeFrom="paragraph">
              <wp:posOffset>-613410</wp:posOffset>
            </wp:positionV>
            <wp:extent cx="2035175" cy="808990"/>
            <wp:effectExtent l="0" t="0" r="0" b="0"/>
            <wp:wrapSquare wrapText="bothSides"/>
            <wp:docPr id="4" name="Imagen 4" descr="Resultado de imagen para instituto nacional de psiquia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nstituto nacional de psiquiatr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17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1C5" w:rsidRDefault="005F51C5" w:rsidP="00215EAE">
      <w:pPr>
        <w:rPr>
          <w:rFonts w:ascii="Arial" w:hAnsi="Arial" w:cs="Arial"/>
          <w:b/>
          <w:sz w:val="32"/>
          <w:szCs w:val="32"/>
        </w:rPr>
      </w:pPr>
    </w:p>
    <w:p w:rsidR="005F51C5" w:rsidRDefault="005F51C5" w:rsidP="00215EAE">
      <w:pPr>
        <w:rPr>
          <w:rFonts w:ascii="Arial" w:hAnsi="Arial" w:cs="Arial"/>
          <w:b/>
          <w:sz w:val="32"/>
          <w:szCs w:val="32"/>
        </w:rPr>
      </w:pPr>
    </w:p>
    <w:p w:rsidR="00541694" w:rsidRPr="00EB6020" w:rsidRDefault="00541694" w:rsidP="00215EAE">
      <w:pPr>
        <w:rPr>
          <w:rFonts w:ascii="Arial" w:hAnsi="Arial" w:cs="Arial"/>
          <w:b/>
          <w:bCs/>
          <w:sz w:val="40"/>
        </w:rPr>
      </w:pPr>
      <w:bookmarkStart w:id="0" w:name="_GoBack"/>
      <w:bookmarkEnd w:id="0"/>
      <w:r w:rsidRPr="00EB6020">
        <w:rPr>
          <w:rFonts w:ascii="Arial" w:hAnsi="Arial" w:cs="Arial"/>
          <w:b/>
          <w:sz w:val="32"/>
          <w:szCs w:val="32"/>
        </w:rPr>
        <w:t xml:space="preserve">EL </w:t>
      </w:r>
      <w:r w:rsidRPr="00EB6020">
        <w:rPr>
          <w:rFonts w:ascii="Arial" w:hAnsi="Arial" w:cs="Arial"/>
          <w:b/>
          <w:bCs/>
          <w:sz w:val="32"/>
          <w:szCs w:val="32"/>
        </w:rPr>
        <w:t>DICF3-HEPA</w:t>
      </w:r>
      <w:r w:rsidRPr="00EB6020">
        <w:rPr>
          <w:rFonts w:ascii="Arial" w:hAnsi="Arial" w:cs="Arial"/>
          <w:b/>
          <w:sz w:val="32"/>
          <w:szCs w:val="32"/>
        </w:rPr>
        <w:t xml:space="preserve"> DISMINUYE LA HIPEREXCITABILIDAD NEURONAL DEL SÍNDROME DE ABSTINENCIA A GABA (SAG)</w:t>
      </w:r>
      <w:r w:rsidR="00EB6020">
        <w:rPr>
          <w:rFonts w:ascii="Arial" w:hAnsi="Arial" w:cs="Arial"/>
          <w:b/>
          <w:sz w:val="32"/>
          <w:szCs w:val="32"/>
        </w:rPr>
        <w:t>.</w:t>
      </w:r>
    </w:p>
    <w:p w:rsidR="008461DF" w:rsidRDefault="00215EAE" w:rsidP="00215EAE">
      <w:pPr>
        <w:ind w:left="-284" w:firstLine="284"/>
        <w:rPr>
          <w:b/>
          <w:bCs/>
          <w:sz w:val="24"/>
        </w:rPr>
      </w:pPr>
      <w:r>
        <w:rPr>
          <w:b/>
          <w:bCs/>
          <w:sz w:val="24"/>
        </w:rPr>
        <w:t>David Pinto</w:t>
      </w:r>
      <w:r w:rsidR="008461DF">
        <w:rPr>
          <w:b/>
          <w:bCs/>
          <w:sz w:val="24"/>
        </w:rPr>
        <w:t xml:space="preserve"> ¹, Angie Moreno ², Eduardo Calixto³.</w:t>
      </w:r>
    </w:p>
    <w:p w:rsidR="008461DF" w:rsidRDefault="0050140C" w:rsidP="00215EAE">
      <w:pPr>
        <w:ind w:left="-284" w:firstLine="284"/>
        <w:rPr>
          <w:b/>
          <w:bCs/>
          <w:sz w:val="24"/>
        </w:rPr>
      </w:pPr>
      <w:r>
        <w:rPr>
          <w:b/>
          <w:bCs/>
          <w:sz w:val="24"/>
        </w:rPr>
        <w:t>RESUMEN</w:t>
      </w:r>
    </w:p>
    <w:p w:rsidR="0017320B" w:rsidRPr="0017320B" w:rsidRDefault="0017320B" w:rsidP="00215EAE">
      <w:pPr>
        <w:ind w:left="-284" w:firstLine="284"/>
        <w:jc w:val="both"/>
        <w:rPr>
          <w:rFonts w:ascii="Arial" w:hAnsi="Arial" w:cs="Arial"/>
          <w:bCs/>
          <w:sz w:val="24"/>
        </w:rPr>
      </w:pPr>
      <w:r>
        <w:rPr>
          <w:b/>
          <w:bCs/>
          <w:sz w:val="24"/>
        </w:rPr>
        <w:tab/>
      </w:r>
      <w:r>
        <w:rPr>
          <w:b/>
          <w:bCs/>
          <w:sz w:val="24"/>
        </w:rPr>
        <w:tab/>
      </w:r>
      <w:r>
        <w:rPr>
          <w:rFonts w:ascii="Arial" w:hAnsi="Arial" w:cs="Arial"/>
          <w:bCs/>
          <w:sz w:val="24"/>
        </w:rPr>
        <w:t xml:space="preserve">En este trabajo de investigación se reprodujo un modelo de hiperexcitabilidad neuronal inducido por la retirada abrupta del principal neurotransmisor inhibitorio, el </w:t>
      </w:r>
      <w:r w:rsidRPr="00634BC9">
        <w:rPr>
          <w:rFonts w:ascii="Arial" w:hAnsi="Arial" w:cs="Arial"/>
          <w:sz w:val="24"/>
          <w:szCs w:val="24"/>
        </w:rPr>
        <w:t>ácido γ-aminobutírico (GABA)</w:t>
      </w:r>
      <w:r>
        <w:rPr>
          <w:rFonts w:ascii="Arial" w:hAnsi="Arial" w:cs="Arial"/>
          <w:sz w:val="24"/>
          <w:szCs w:val="24"/>
        </w:rPr>
        <w:t xml:space="preserve"> con la finalidad de realizar una intervención farmacológica al aplicar el DiCF3-HEPA y estudiar los posibles efectos</w:t>
      </w:r>
      <w:r w:rsidR="00340F5A">
        <w:rPr>
          <w:rFonts w:ascii="Arial" w:hAnsi="Arial" w:cs="Arial"/>
          <w:sz w:val="24"/>
          <w:szCs w:val="24"/>
        </w:rPr>
        <w:t xml:space="preserve"> de esta molécula </w:t>
      </w:r>
      <w:r>
        <w:rPr>
          <w:rFonts w:ascii="Arial" w:hAnsi="Arial" w:cs="Arial"/>
          <w:sz w:val="24"/>
          <w:szCs w:val="24"/>
        </w:rPr>
        <w:t xml:space="preserve"> en la modificación de la conducta de tipo ansiosa y la disminución de los complejos espiga/onda registrados en el Electroencefalograma (EEG)</w:t>
      </w:r>
      <w:r w:rsidR="00340F5A">
        <w:rPr>
          <w:rFonts w:ascii="Arial" w:hAnsi="Arial" w:cs="Arial"/>
          <w:sz w:val="24"/>
          <w:szCs w:val="24"/>
        </w:rPr>
        <w:t xml:space="preserve"> en ratas macho.</w:t>
      </w:r>
    </w:p>
    <w:p w:rsidR="009C5E44" w:rsidRDefault="009C5E44" w:rsidP="00215EAE">
      <w:pPr>
        <w:ind w:left="-284" w:firstLine="284"/>
        <w:jc w:val="both"/>
        <w:rPr>
          <w:rFonts w:ascii="Verdana" w:hAnsi="Verdana"/>
          <w:color w:val="000000"/>
          <w:shd w:val="clear" w:color="auto" w:fill="FFFFFF"/>
        </w:rPr>
      </w:pPr>
    </w:p>
    <w:p w:rsidR="0050140C" w:rsidRPr="00873C7A" w:rsidRDefault="0050140C" w:rsidP="00C04C60">
      <w:pPr>
        <w:ind w:left="-284" w:firstLine="284"/>
        <w:rPr>
          <w:rFonts w:ascii="Arial" w:hAnsi="Arial" w:cs="Arial"/>
          <w:b/>
          <w:color w:val="000000"/>
          <w:sz w:val="24"/>
          <w:shd w:val="clear" w:color="auto" w:fill="FFFFFF"/>
        </w:rPr>
      </w:pPr>
      <w:r w:rsidRPr="00873C7A">
        <w:rPr>
          <w:rFonts w:ascii="Arial" w:hAnsi="Arial" w:cs="Arial"/>
          <w:b/>
          <w:color w:val="000000"/>
          <w:sz w:val="24"/>
          <w:shd w:val="clear" w:color="auto" w:fill="FFFFFF"/>
        </w:rPr>
        <w:t>INTRODUCCIÓN</w:t>
      </w:r>
    </w:p>
    <w:p w:rsidR="002C5132" w:rsidRPr="00634BC9" w:rsidRDefault="002D1968" w:rsidP="00C04C60">
      <w:pPr>
        <w:ind w:left="-284" w:firstLine="992"/>
        <w:jc w:val="both"/>
        <w:rPr>
          <w:rFonts w:ascii="Arial" w:eastAsia="Arial" w:hAnsi="Arial" w:cs="Arial"/>
          <w:sz w:val="24"/>
          <w:szCs w:val="24"/>
        </w:rPr>
      </w:pPr>
      <w:r w:rsidRPr="00634BC9">
        <w:rPr>
          <w:rFonts w:ascii="Arial" w:hAnsi="Arial" w:cs="Arial"/>
          <w:sz w:val="24"/>
          <w:szCs w:val="24"/>
        </w:rPr>
        <w:t>El ácido γ-aminobutírico (GABA) es el principal neurotransmisor inhibitorio del Sistema Nervioso Central de los mamíferos.</w:t>
      </w:r>
      <w:r w:rsidR="002C5132" w:rsidRPr="00634BC9">
        <w:rPr>
          <w:rFonts w:ascii="Arial" w:hAnsi="Arial" w:cs="Arial"/>
          <w:sz w:val="24"/>
          <w:szCs w:val="24"/>
        </w:rPr>
        <w:t xml:space="preserve"> </w:t>
      </w:r>
      <w:r w:rsidR="002C5132" w:rsidRPr="00B10458">
        <w:rPr>
          <w:rFonts w:ascii="Arial" w:hAnsi="Arial" w:cs="Arial"/>
          <w:color w:val="000000" w:themeColor="text1"/>
          <w:sz w:val="24"/>
          <w:szCs w:val="24"/>
        </w:rPr>
        <w:t xml:space="preserve">Las sinapsis GABAérgicas a nivel pre y post sináptico ejercen su función en relación a interacciones macromoleculares que se realizan a través de distintos receptores. El GABA desempeña su papel inhibidor por medio de dos tipos de receptores; </w:t>
      </w:r>
      <w:proofErr w:type="spellStart"/>
      <w:r w:rsidR="002C5132" w:rsidRPr="00B10458">
        <w:rPr>
          <w:rFonts w:ascii="Arial" w:hAnsi="Arial" w:cs="Arial"/>
          <w:color w:val="000000" w:themeColor="text1"/>
          <w:sz w:val="24"/>
          <w:szCs w:val="24"/>
        </w:rPr>
        <w:t>ionotrópicos</w:t>
      </w:r>
      <w:proofErr w:type="spellEnd"/>
      <w:r w:rsidR="002C5132" w:rsidRPr="00B10458">
        <w:rPr>
          <w:rFonts w:ascii="Arial" w:hAnsi="Arial" w:cs="Arial"/>
          <w:color w:val="000000" w:themeColor="text1"/>
          <w:sz w:val="24"/>
          <w:szCs w:val="24"/>
        </w:rPr>
        <w:t xml:space="preserve"> en los cuales se encuentra el receptor </w:t>
      </w:r>
      <w:r w:rsidR="002C5132" w:rsidRPr="00B10458">
        <w:rPr>
          <w:rFonts w:ascii="Arial" w:eastAsia="Arial" w:hAnsi="Arial" w:cs="Arial"/>
          <w:sz w:val="24"/>
          <w:szCs w:val="24"/>
        </w:rPr>
        <w:t>GABA</w:t>
      </w:r>
      <w:r w:rsidR="002C5132" w:rsidRPr="00B10458">
        <w:rPr>
          <w:rFonts w:ascii="Arial" w:eastAsia="Arial" w:hAnsi="Arial" w:cs="Arial"/>
          <w:sz w:val="24"/>
          <w:szCs w:val="24"/>
          <w:vertAlign w:val="subscript"/>
        </w:rPr>
        <w:t>A</w:t>
      </w:r>
      <w:r w:rsidR="002C5132" w:rsidRPr="00B10458">
        <w:rPr>
          <w:rFonts w:ascii="Arial" w:hAnsi="Arial" w:cs="Arial"/>
          <w:color w:val="000000" w:themeColor="text1"/>
          <w:sz w:val="24"/>
          <w:szCs w:val="24"/>
        </w:rPr>
        <w:t xml:space="preserve"> y </w:t>
      </w:r>
      <w:proofErr w:type="spellStart"/>
      <w:r w:rsidR="002C5132" w:rsidRPr="00B10458">
        <w:rPr>
          <w:rFonts w:ascii="Arial" w:hAnsi="Arial" w:cs="Arial"/>
          <w:color w:val="000000" w:themeColor="text1"/>
          <w:sz w:val="24"/>
          <w:szCs w:val="24"/>
        </w:rPr>
        <w:t>metabotrópicos</w:t>
      </w:r>
      <w:proofErr w:type="spellEnd"/>
      <w:r w:rsidR="002C5132" w:rsidRPr="00B10458">
        <w:rPr>
          <w:rFonts w:ascii="Arial" w:hAnsi="Arial" w:cs="Arial"/>
          <w:color w:val="000000" w:themeColor="text1"/>
          <w:sz w:val="24"/>
          <w:szCs w:val="24"/>
        </w:rPr>
        <w:t xml:space="preserve"> que incluyen GABA</w:t>
      </w:r>
      <w:r w:rsidR="002C5132" w:rsidRPr="00B10458">
        <w:rPr>
          <w:rFonts w:ascii="Arial" w:eastAsia="Arial" w:hAnsi="Arial" w:cs="Arial"/>
          <w:sz w:val="24"/>
          <w:szCs w:val="24"/>
          <w:vertAlign w:val="subscript"/>
        </w:rPr>
        <w:t xml:space="preserve">B </w:t>
      </w:r>
      <w:r w:rsidR="002C5132" w:rsidRPr="00B10458">
        <w:rPr>
          <w:rFonts w:ascii="Arial" w:hAnsi="Arial" w:cs="Arial"/>
          <w:color w:val="000000" w:themeColor="text1"/>
          <w:sz w:val="24"/>
          <w:szCs w:val="24"/>
        </w:rPr>
        <w:t xml:space="preserve"> y </w:t>
      </w:r>
      <w:proofErr w:type="spellStart"/>
      <w:r w:rsidR="002C5132" w:rsidRPr="00B10458">
        <w:rPr>
          <w:rFonts w:ascii="Arial" w:eastAsia="Arial" w:hAnsi="Arial" w:cs="Arial"/>
          <w:sz w:val="24"/>
          <w:szCs w:val="24"/>
        </w:rPr>
        <w:t>GABA</w:t>
      </w:r>
      <w:r w:rsidR="002C5132" w:rsidRPr="00B10458">
        <w:rPr>
          <w:rFonts w:ascii="Arial" w:eastAsia="Arial" w:hAnsi="Arial" w:cs="Arial"/>
          <w:sz w:val="24"/>
          <w:szCs w:val="24"/>
          <w:vertAlign w:val="subscript"/>
        </w:rPr>
        <w:t>c</w:t>
      </w:r>
      <w:proofErr w:type="spellEnd"/>
      <w:r w:rsidR="002C5132" w:rsidRPr="00B10458">
        <w:rPr>
          <w:rFonts w:ascii="Arial" w:eastAsia="Arial" w:hAnsi="Arial" w:cs="Arial"/>
          <w:sz w:val="24"/>
          <w:szCs w:val="24"/>
        </w:rPr>
        <w:t>, el cual está localizado principalmente en la retina (</w:t>
      </w:r>
      <w:proofErr w:type="spellStart"/>
      <w:r w:rsidR="002C5132" w:rsidRPr="00B10458">
        <w:rPr>
          <w:rFonts w:ascii="Arial" w:eastAsia="Arial" w:hAnsi="Arial" w:cs="Arial"/>
          <w:sz w:val="24"/>
          <w:szCs w:val="24"/>
        </w:rPr>
        <w:t>Schousboe</w:t>
      </w:r>
      <w:proofErr w:type="spellEnd"/>
      <w:r w:rsidR="002C5132" w:rsidRPr="00B10458">
        <w:rPr>
          <w:rFonts w:ascii="Arial" w:eastAsia="Arial" w:hAnsi="Arial" w:cs="Arial"/>
          <w:sz w:val="24"/>
          <w:szCs w:val="24"/>
        </w:rPr>
        <w:t xml:space="preserve"> y </w:t>
      </w:r>
      <w:proofErr w:type="spellStart"/>
      <w:r w:rsidR="002C5132" w:rsidRPr="00B10458">
        <w:rPr>
          <w:rFonts w:ascii="Arial" w:eastAsia="Arial" w:hAnsi="Arial" w:cs="Arial"/>
          <w:sz w:val="24"/>
          <w:szCs w:val="24"/>
        </w:rPr>
        <w:t>Waagepetersen</w:t>
      </w:r>
      <w:proofErr w:type="spellEnd"/>
      <w:r w:rsidR="002C5132" w:rsidRPr="00B10458">
        <w:rPr>
          <w:rFonts w:ascii="Arial" w:eastAsia="Arial" w:hAnsi="Arial" w:cs="Arial"/>
          <w:sz w:val="24"/>
          <w:szCs w:val="24"/>
        </w:rPr>
        <w:t>, 2008).</w:t>
      </w:r>
    </w:p>
    <w:p w:rsidR="002C5132" w:rsidRPr="00634BC9" w:rsidRDefault="002C5132" w:rsidP="00C04C60">
      <w:pPr>
        <w:ind w:left="-284" w:firstLine="992"/>
        <w:jc w:val="both"/>
        <w:rPr>
          <w:rFonts w:ascii="Arial" w:hAnsi="Arial" w:cs="Arial"/>
          <w:sz w:val="24"/>
          <w:szCs w:val="24"/>
          <w:shd w:val="clear" w:color="auto" w:fill="FFFFFF"/>
        </w:rPr>
      </w:pPr>
      <w:r w:rsidRPr="00634BC9">
        <w:rPr>
          <w:rFonts w:ascii="Arial" w:eastAsia="Arial" w:hAnsi="Arial" w:cs="Arial"/>
          <w:sz w:val="24"/>
          <w:szCs w:val="24"/>
        </w:rPr>
        <w:lastRenderedPageBreak/>
        <w:t>El receptor GABA</w:t>
      </w:r>
      <w:r w:rsidRPr="00634BC9">
        <w:rPr>
          <w:rFonts w:ascii="Arial" w:eastAsia="Arial" w:hAnsi="Arial" w:cs="Arial"/>
          <w:sz w:val="24"/>
          <w:szCs w:val="24"/>
          <w:vertAlign w:val="subscript"/>
        </w:rPr>
        <w:t>A</w:t>
      </w:r>
      <w:r w:rsidRPr="00634BC9">
        <w:rPr>
          <w:rFonts w:ascii="Arial" w:eastAsia="Arial" w:hAnsi="Arial" w:cs="Arial"/>
          <w:sz w:val="24"/>
          <w:szCs w:val="24"/>
        </w:rPr>
        <w:t>,</w:t>
      </w:r>
      <w:r w:rsidRPr="00634BC9">
        <w:rPr>
          <w:rFonts w:ascii="Arial" w:eastAsia="Arial" w:hAnsi="Arial" w:cs="Arial"/>
          <w:sz w:val="24"/>
          <w:szCs w:val="24"/>
          <w:vertAlign w:val="subscript"/>
        </w:rPr>
        <w:t xml:space="preserve"> </w:t>
      </w:r>
      <w:r w:rsidRPr="00634BC9">
        <w:rPr>
          <w:rFonts w:ascii="Arial" w:eastAsia="Arial" w:hAnsi="Arial" w:cs="Arial"/>
          <w:sz w:val="24"/>
          <w:szCs w:val="24"/>
        </w:rPr>
        <w:t xml:space="preserve">es una estructura </w:t>
      </w:r>
      <w:proofErr w:type="spellStart"/>
      <w:r w:rsidRPr="00634BC9">
        <w:rPr>
          <w:rFonts w:ascii="Arial" w:eastAsia="Arial" w:hAnsi="Arial" w:cs="Arial"/>
          <w:sz w:val="24"/>
          <w:szCs w:val="24"/>
        </w:rPr>
        <w:t>heteromérica</w:t>
      </w:r>
      <w:proofErr w:type="spellEnd"/>
      <w:r w:rsidRPr="00634BC9">
        <w:rPr>
          <w:rFonts w:ascii="Arial" w:eastAsia="Arial" w:hAnsi="Arial" w:cs="Arial"/>
          <w:sz w:val="24"/>
          <w:szCs w:val="24"/>
        </w:rPr>
        <w:t xml:space="preserve"> conformada por cinco subunidades de naturaleza proteica, que  </w:t>
      </w:r>
      <w:r w:rsidRPr="00634BC9">
        <w:rPr>
          <w:rFonts w:ascii="Arial" w:eastAsia="Times New Roman" w:hAnsi="Arial" w:cs="Arial"/>
          <w:sz w:val="24"/>
          <w:szCs w:val="24"/>
        </w:rPr>
        <w:t xml:space="preserve">constituyen y forman un canal que permite la entrada de iones de </w:t>
      </w:r>
      <w:r w:rsidRPr="00634BC9">
        <w:rPr>
          <w:rFonts w:ascii="Arial" w:eastAsia="Arial" w:hAnsi="Arial" w:cs="Arial"/>
          <w:sz w:val="24"/>
          <w:szCs w:val="24"/>
        </w:rPr>
        <w:t>Cl</w:t>
      </w:r>
      <w:r w:rsidRPr="00634BC9">
        <w:rPr>
          <w:rFonts w:ascii="Arial" w:eastAsia="Arial" w:hAnsi="Arial" w:cs="Arial"/>
          <w:sz w:val="24"/>
          <w:szCs w:val="24"/>
          <w:vertAlign w:val="superscript"/>
        </w:rPr>
        <w:t>-</w:t>
      </w:r>
      <w:r w:rsidRPr="00634BC9">
        <w:rPr>
          <w:rFonts w:ascii="Arial" w:eastAsia="Arial" w:hAnsi="Arial" w:cs="Arial"/>
          <w:sz w:val="24"/>
          <w:szCs w:val="24"/>
        </w:rPr>
        <w:t xml:space="preserve"> o HCO</w:t>
      </w:r>
      <w:r w:rsidRPr="00634BC9">
        <w:rPr>
          <w:rFonts w:ascii="Arial" w:eastAsia="Arial" w:hAnsi="Arial" w:cs="Arial"/>
          <w:sz w:val="24"/>
          <w:szCs w:val="24"/>
          <w:vertAlign w:val="subscript"/>
        </w:rPr>
        <w:t>3</w:t>
      </w:r>
      <w:r w:rsidRPr="00634BC9">
        <w:rPr>
          <w:rFonts w:ascii="Arial" w:eastAsia="Arial" w:hAnsi="Arial" w:cs="Arial"/>
          <w:sz w:val="24"/>
          <w:szCs w:val="24"/>
          <w:vertAlign w:val="superscript"/>
        </w:rPr>
        <w:t xml:space="preserve">- </w:t>
      </w:r>
      <w:r w:rsidRPr="00634BC9">
        <w:rPr>
          <w:rFonts w:ascii="Arial" w:eastAsia="Arial" w:hAnsi="Arial" w:cs="Arial"/>
          <w:sz w:val="24"/>
          <w:szCs w:val="24"/>
        </w:rPr>
        <w:t>(</w:t>
      </w:r>
      <w:proofErr w:type="spellStart"/>
      <w:r w:rsidRPr="00634BC9">
        <w:rPr>
          <w:rFonts w:ascii="Arial" w:eastAsia="Arial" w:hAnsi="Arial" w:cs="Arial"/>
          <w:sz w:val="24"/>
          <w:szCs w:val="24"/>
        </w:rPr>
        <w:t>Magnaghi</w:t>
      </w:r>
      <w:proofErr w:type="spellEnd"/>
      <w:r w:rsidRPr="00634BC9">
        <w:rPr>
          <w:rFonts w:ascii="Arial" w:eastAsia="Arial" w:hAnsi="Arial" w:cs="Arial"/>
          <w:i/>
          <w:sz w:val="24"/>
          <w:szCs w:val="24"/>
        </w:rPr>
        <w:t>,</w:t>
      </w:r>
      <w:r w:rsidRPr="00634BC9">
        <w:rPr>
          <w:rFonts w:ascii="Arial" w:eastAsia="Arial" w:hAnsi="Arial" w:cs="Arial"/>
          <w:sz w:val="24"/>
          <w:szCs w:val="24"/>
        </w:rPr>
        <w:t xml:space="preserve"> 2007). Se han identificado 19 subunidades diferentes (α1-6, β1-3, γ1-3, δ, ε, π, θ, ρ1-3) que al combinarse </w:t>
      </w:r>
      <w:r w:rsidRPr="00634BC9">
        <w:rPr>
          <w:rFonts w:ascii="Arial" w:hAnsi="Arial" w:cs="Arial"/>
          <w:sz w:val="24"/>
          <w:szCs w:val="24"/>
          <w:shd w:val="clear" w:color="auto" w:fill="FFFFFF"/>
        </w:rPr>
        <w:t>determinan principalmente las propiedades farmacológicas y biofísicas del receptor (</w:t>
      </w:r>
      <w:proofErr w:type="spellStart"/>
      <w:r w:rsidRPr="00634BC9">
        <w:rPr>
          <w:rFonts w:ascii="Arial" w:hAnsi="Arial" w:cs="Arial"/>
          <w:sz w:val="24"/>
          <w:szCs w:val="24"/>
          <w:shd w:val="clear" w:color="auto" w:fill="FFFFFF"/>
        </w:rPr>
        <w:t>Cuzon</w:t>
      </w:r>
      <w:proofErr w:type="spellEnd"/>
      <w:r w:rsidRPr="00634BC9">
        <w:rPr>
          <w:rFonts w:ascii="Arial" w:hAnsi="Arial" w:cs="Arial"/>
          <w:sz w:val="24"/>
          <w:szCs w:val="24"/>
          <w:shd w:val="clear" w:color="auto" w:fill="FFFFFF"/>
        </w:rPr>
        <w:t xml:space="preserve"> y Helms, 2011). La heterogeneidad de las combinaciones de subunidades del receptor GABA</w:t>
      </w:r>
      <w:r w:rsidRPr="00634BC9">
        <w:rPr>
          <w:rFonts w:ascii="Arial" w:eastAsia="Arial" w:hAnsi="Arial" w:cs="Arial"/>
          <w:color w:val="000000" w:themeColor="text1"/>
          <w:sz w:val="24"/>
          <w:szCs w:val="24"/>
          <w:vertAlign w:val="subscript"/>
        </w:rPr>
        <w:t>A</w:t>
      </w:r>
      <w:r w:rsidRPr="00634BC9">
        <w:rPr>
          <w:rFonts w:ascii="Arial" w:eastAsia="Arial" w:hAnsi="Arial" w:cs="Arial"/>
          <w:sz w:val="24"/>
          <w:szCs w:val="24"/>
        </w:rPr>
        <w:t xml:space="preserve"> </w:t>
      </w:r>
      <w:proofErr w:type="gramStart"/>
      <w:r w:rsidRPr="00634BC9">
        <w:rPr>
          <w:rFonts w:ascii="Arial" w:eastAsia="Arial" w:hAnsi="Arial" w:cs="Arial"/>
          <w:sz w:val="24"/>
          <w:szCs w:val="24"/>
        </w:rPr>
        <w:t>forman</w:t>
      </w:r>
      <w:proofErr w:type="gramEnd"/>
      <w:r w:rsidRPr="00634BC9">
        <w:rPr>
          <w:rFonts w:ascii="Arial" w:eastAsia="Arial" w:hAnsi="Arial" w:cs="Arial"/>
          <w:sz w:val="24"/>
          <w:szCs w:val="24"/>
        </w:rPr>
        <w:t xml:space="preserve"> diferentes sitios</w:t>
      </w:r>
      <w:r w:rsidRPr="00634BC9">
        <w:rPr>
          <w:rFonts w:ascii="Arial" w:eastAsia="Arial" w:hAnsi="Arial" w:cs="Arial"/>
          <w:sz w:val="24"/>
          <w:szCs w:val="24"/>
          <w:vertAlign w:val="subscript"/>
        </w:rPr>
        <w:t xml:space="preserve"> </w:t>
      </w:r>
      <w:r w:rsidRPr="00634BC9">
        <w:rPr>
          <w:rFonts w:ascii="Arial" w:eastAsia="Arial" w:hAnsi="Arial" w:cs="Arial"/>
          <w:sz w:val="24"/>
          <w:szCs w:val="24"/>
        </w:rPr>
        <w:t>de unión para varios fármacos clínicamente importantes, incluyendo las benzodiacepinas</w:t>
      </w:r>
      <w:r w:rsidRPr="00634BC9">
        <w:rPr>
          <w:rFonts w:ascii="Arial" w:eastAsia="Arial" w:hAnsi="Arial" w:cs="Arial"/>
          <w:sz w:val="24"/>
          <w:szCs w:val="24"/>
          <w:vertAlign w:val="subscript"/>
        </w:rPr>
        <w:t xml:space="preserve">, </w:t>
      </w:r>
      <w:r w:rsidRPr="00634BC9">
        <w:rPr>
          <w:rFonts w:ascii="Arial" w:hAnsi="Arial" w:cs="Arial"/>
          <w:sz w:val="24"/>
          <w:szCs w:val="24"/>
          <w:shd w:val="clear" w:color="auto" w:fill="FFFFFF"/>
        </w:rPr>
        <w:t>barbitúricos, etanol y neuroesteroides. (</w:t>
      </w:r>
      <w:proofErr w:type="spellStart"/>
      <w:r w:rsidRPr="00634BC9">
        <w:rPr>
          <w:rFonts w:ascii="Arial" w:hAnsi="Arial" w:cs="Arial"/>
          <w:sz w:val="24"/>
          <w:szCs w:val="24"/>
          <w:shd w:val="clear" w:color="auto" w:fill="FFFFFF"/>
        </w:rPr>
        <w:t>Watanabe</w:t>
      </w:r>
      <w:proofErr w:type="spellEnd"/>
      <w:r w:rsidRPr="00634BC9">
        <w:rPr>
          <w:rFonts w:ascii="Arial" w:hAnsi="Arial" w:cs="Arial"/>
          <w:sz w:val="24"/>
          <w:szCs w:val="24"/>
          <w:shd w:val="clear" w:color="auto" w:fill="FFFFFF"/>
        </w:rPr>
        <w:t xml:space="preserve">, </w:t>
      </w:r>
      <w:proofErr w:type="spellStart"/>
      <w:r w:rsidRPr="00634BC9">
        <w:rPr>
          <w:rFonts w:ascii="Arial" w:hAnsi="Arial" w:cs="Arial"/>
          <w:sz w:val="24"/>
          <w:szCs w:val="24"/>
          <w:shd w:val="clear" w:color="auto" w:fill="FFFFFF"/>
        </w:rPr>
        <w:t>Maemura</w:t>
      </w:r>
      <w:proofErr w:type="spellEnd"/>
      <w:r w:rsidRPr="00634BC9">
        <w:rPr>
          <w:rFonts w:ascii="Arial" w:hAnsi="Arial" w:cs="Arial"/>
          <w:sz w:val="24"/>
          <w:szCs w:val="24"/>
          <w:shd w:val="clear" w:color="auto" w:fill="FFFFFF"/>
        </w:rPr>
        <w:t xml:space="preserve">, </w:t>
      </w:r>
      <w:proofErr w:type="spellStart"/>
      <w:r w:rsidRPr="00634BC9">
        <w:rPr>
          <w:rFonts w:ascii="Arial" w:hAnsi="Arial" w:cs="Arial"/>
          <w:sz w:val="24"/>
          <w:szCs w:val="24"/>
          <w:shd w:val="clear" w:color="auto" w:fill="FFFFFF"/>
        </w:rPr>
        <w:t>Kanbara</w:t>
      </w:r>
      <w:proofErr w:type="spellEnd"/>
      <w:r w:rsidRPr="00634BC9">
        <w:rPr>
          <w:rFonts w:ascii="Arial" w:hAnsi="Arial" w:cs="Arial"/>
          <w:sz w:val="24"/>
          <w:szCs w:val="24"/>
          <w:shd w:val="clear" w:color="auto" w:fill="FFFFFF"/>
        </w:rPr>
        <w:t xml:space="preserve">, </w:t>
      </w:r>
      <w:proofErr w:type="spellStart"/>
      <w:r w:rsidRPr="00634BC9">
        <w:rPr>
          <w:rFonts w:ascii="Arial" w:hAnsi="Arial" w:cs="Arial"/>
          <w:sz w:val="24"/>
          <w:szCs w:val="24"/>
          <w:shd w:val="clear" w:color="auto" w:fill="FFFFFF"/>
        </w:rPr>
        <w:t>Tamayama</w:t>
      </w:r>
      <w:proofErr w:type="spellEnd"/>
      <w:r w:rsidRPr="00634BC9">
        <w:rPr>
          <w:rFonts w:ascii="Arial" w:hAnsi="Arial" w:cs="Arial"/>
          <w:sz w:val="24"/>
          <w:szCs w:val="24"/>
          <w:shd w:val="clear" w:color="auto" w:fill="FFFFFF"/>
        </w:rPr>
        <w:t xml:space="preserve"> y </w:t>
      </w:r>
      <w:proofErr w:type="spellStart"/>
      <w:r w:rsidRPr="00634BC9">
        <w:rPr>
          <w:rFonts w:ascii="Arial" w:hAnsi="Arial" w:cs="Arial"/>
          <w:sz w:val="24"/>
          <w:szCs w:val="24"/>
          <w:shd w:val="clear" w:color="auto" w:fill="FFFFFF"/>
        </w:rPr>
        <w:t>Hayasaki</w:t>
      </w:r>
      <w:proofErr w:type="spellEnd"/>
      <w:r w:rsidRPr="00634BC9">
        <w:rPr>
          <w:rFonts w:ascii="Arial" w:hAnsi="Arial" w:cs="Arial"/>
          <w:sz w:val="24"/>
          <w:szCs w:val="24"/>
          <w:shd w:val="clear" w:color="auto" w:fill="FFFFFF"/>
        </w:rPr>
        <w:t xml:space="preserve">, 2002). </w:t>
      </w:r>
    </w:p>
    <w:p w:rsidR="002C5132" w:rsidRPr="00634BC9" w:rsidRDefault="002C5132" w:rsidP="00C04C60">
      <w:pPr>
        <w:ind w:left="-284" w:firstLine="992"/>
        <w:jc w:val="both"/>
        <w:rPr>
          <w:rFonts w:ascii="Arial" w:eastAsia="Arial" w:hAnsi="Arial" w:cs="Arial"/>
          <w:sz w:val="24"/>
          <w:szCs w:val="24"/>
        </w:rPr>
      </w:pPr>
      <w:r w:rsidRPr="00634BC9">
        <w:rPr>
          <w:rFonts w:ascii="Arial" w:hAnsi="Arial" w:cs="Arial"/>
          <w:sz w:val="24"/>
          <w:szCs w:val="24"/>
          <w:shd w:val="clear" w:color="auto" w:fill="FFFFFF"/>
        </w:rPr>
        <w:t>El mecanismo sináptico de los receptores GABA</w:t>
      </w:r>
      <w:r w:rsidRPr="00634BC9">
        <w:rPr>
          <w:rFonts w:ascii="Arial" w:hAnsi="Arial" w:cs="Arial"/>
          <w:sz w:val="24"/>
          <w:szCs w:val="24"/>
          <w:shd w:val="clear" w:color="auto" w:fill="FFFFFF"/>
          <w:vertAlign w:val="subscript"/>
        </w:rPr>
        <w:t>A</w:t>
      </w:r>
      <w:r w:rsidRPr="00634BC9">
        <w:rPr>
          <w:rFonts w:ascii="Arial" w:hAnsi="Arial" w:cs="Arial"/>
          <w:sz w:val="24"/>
          <w:szCs w:val="24"/>
          <w:shd w:val="clear" w:color="auto" w:fill="FFFFFF"/>
        </w:rPr>
        <w:t xml:space="preserve"> </w:t>
      </w:r>
      <w:r w:rsidRPr="00634BC9">
        <w:rPr>
          <w:rFonts w:ascii="Arial" w:eastAsia="Arial" w:hAnsi="Arial" w:cs="Arial"/>
          <w:sz w:val="24"/>
          <w:szCs w:val="24"/>
        </w:rPr>
        <w:t>está implicado en la regulación de la vigilancia, la ansiedad, la depresión y funciones de la memoria y cumple una función crítica para mantener el nivel adecuado en la transmisión sináptica inhibitoria y la función fisiológica (</w:t>
      </w:r>
      <w:proofErr w:type="spellStart"/>
      <w:r w:rsidRPr="00634BC9">
        <w:rPr>
          <w:rFonts w:ascii="Arial" w:eastAsia="Arial" w:hAnsi="Arial" w:cs="Arial"/>
          <w:sz w:val="24"/>
          <w:szCs w:val="24"/>
        </w:rPr>
        <w:t>Gasbarri</w:t>
      </w:r>
      <w:proofErr w:type="spellEnd"/>
      <w:r w:rsidRPr="00634BC9">
        <w:rPr>
          <w:rFonts w:ascii="Arial" w:eastAsia="Arial" w:hAnsi="Arial" w:cs="Arial"/>
          <w:sz w:val="24"/>
          <w:szCs w:val="24"/>
        </w:rPr>
        <w:t xml:space="preserve">, </w:t>
      </w:r>
      <w:proofErr w:type="spellStart"/>
      <w:r w:rsidRPr="00634BC9">
        <w:rPr>
          <w:rFonts w:ascii="Arial" w:eastAsia="Arial" w:hAnsi="Arial" w:cs="Arial"/>
          <w:sz w:val="24"/>
          <w:szCs w:val="24"/>
        </w:rPr>
        <w:t>Pompili</w:t>
      </w:r>
      <w:proofErr w:type="spellEnd"/>
      <w:r w:rsidRPr="00634BC9">
        <w:rPr>
          <w:rFonts w:ascii="Arial" w:eastAsia="Arial" w:hAnsi="Arial" w:cs="Arial"/>
          <w:sz w:val="24"/>
          <w:szCs w:val="24"/>
        </w:rPr>
        <w:t>, 2014).</w:t>
      </w:r>
    </w:p>
    <w:p w:rsidR="00A31DE7" w:rsidRPr="00634BC9" w:rsidRDefault="00A31DE7" w:rsidP="00C04C60">
      <w:pPr>
        <w:ind w:left="-284" w:firstLine="992"/>
        <w:jc w:val="both"/>
        <w:rPr>
          <w:rFonts w:ascii="Arial" w:hAnsi="Arial" w:cs="Arial"/>
          <w:sz w:val="24"/>
          <w:szCs w:val="24"/>
        </w:rPr>
      </w:pPr>
      <w:r w:rsidRPr="00634BC9">
        <w:rPr>
          <w:rFonts w:ascii="Arial" w:hAnsi="Arial" w:cs="Arial"/>
          <w:sz w:val="24"/>
          <w:szCs w:val="24"/>
        </w:rPr>
        <w:t xml:space="preserve">El GABA, en forma semejante a la </w:t>
      </w:r>
      <w:r w:rsidR="002C5132" w:rsidRPr="00634BC9">
        <w:rPr>
          <w:rFonts w:ascii="Arial" w:hAnsi="Arial" w:cs="Arial"/>
          <w:sz w:val="24"/>
          <w:szCs w:val="24"/>
        </w:rPr>
        <w:t xml:space="preserve">que lo hacen diferentes drogas </w:t>
      </w:r>
      <w:r w:rsidRPr="00634BC9">
        <w:rPr>
          <w:rFonts w:ascii="Arial" w:hAnsi="Arial" w:cs="Arial"/>
          <w:sz w:val="24"/>
          <w:szCs w:val="24"/>
        </w:rPr>
        <w:t>como el alcohol, los neuroe</w:t>
      </w:r>
      <w:r w:rsidR="002C5132" w:rsidRPr="00634BC9">
        <w:rPr>
          <w:rFonts w:ascii="Arial" w:hAnsi="Arial" w:cs="Arial"/>
          <w:sz w:val="24"/>
          <w:szCs w:val="24"/>
        </w:rPr>
        <w:t>steroides y las benzodiacepinas</w:t>
      </w:r>
      <w:r w:rsidRPr="00634BC9">
        <w:rPr>
          <w:rFonts w:ascii="Arial" w:hAnsi="Arial" w:cs="Arial"/>
          <w:sz w:val="24"/>
          <w:szCs w:val="24"/>
        </w:rPr>
        <w:t>, induce, ante su retiro agudo en el espacio sináptico, una plasticidad cerebral que favorece una hiperexcitabilidad neuronal (Calixto, 2015).</w:t>
      </w:r>
    </w:p>
    <w:p w:rsidR="0050140C" w:rsidRPr="00634BC9" w:rsidRDefault="0050140C" w:rsidP="00C04C60">
      <w:pPr>
        <w:ind w:left="-284" w:firstLine="992"/>
        <w:jc w:val="both"/>
        <w:rPr>
          <w:rFonts w:ascii="Arial" w:hAnsi="Arial" w:cs="Arial"/>
          <w:color w:val="000000"/>
          <w:sz w:val="24"/>
          <w:szCs w:val="24"/>
          <w:shd w:val="clear" w:color="auto" w:fill="FFFFFF"/>
        </w:rPr>
      </w:pPr>
      <w:r w:rsidRPr="00634BC9">
        <w:rPr>
          <w:rFonts w:ascii="Arial" w:hAnsi="Arial" w:cs="Arial"/>
          <w:color w:val="000000"/>
          <w:sz w:val="24"/>
          <w:szCs w:val="24"/>
          <w:shd w:val="clear" w:color="auto" w:fill="FFFFFF"/>
        </w:rPr>
        <w:t>La interrupción abrupta del incremento de la concentración en el espacio sináptico del neurotransmisor inhibitorio de la corteza cerebral, el ácido γ-amino butírico (GABA), condiciona un incremento en la actividad de las neuronas. La abstinencia al GABA es una analogía heurística con los síndromes de abstinencia desarrollados por otros agonistas del receptor GABA</w:t>
      </w:r>
      <w:r w:rsidRPr="00634BC9">
        <w:rPr>
          <w:rFonts w:ascii="Arial" w:hAnsi="Arial" w:cs="Arial"/>
          <w:color w:val="000000"/>
          <w:sz w:val="24"/>
          <w:szCs w:val="24"/>
          <w:shd w:val="clear" w:color="auto" w:fill="FFFFFF"/>
          <w:vertAlign w:val="subscript"/>
        </w:rPr>
        <w:t>A</w:t>
      </w:r>
      <w:r w:rsidRPr="00634BC9">
        <w:rPr>
          <w:rFonts w:ascii="Arial" w:hAnsi="Arial" w:cs="Arial"/>
          <w:color w:val="000000"/>
          <w:sz w:val="24"/>
          <w:szCs w:val="24"/>
          <w:shd w:val="clear" w:color="auto" w:fill="FFFFFF"/>
        </w:rPr>
        <w:t> como: las benzodiacepinas, los barbitúricos, los neuroesteroides y el alcohol (Calixto, 2012).</w:t>
      </w:r>
    </w:p>
    <w:p w:rsidR="0050140C" w:rsidRPr="00634BC9" w:rsidRDefault="0050140C" w:rsidP="00C04C60">
      <w:pPr>
        <w:ind w:left="-284" w:firstLine="992"/>
        <w:jc w:val="both"/>
        <w:rPr>
          <w:rFonts w:ascii="Arial" w:hAnsi="Arial" w:cs="Arial"/>
          <w:color w:val="000000"/>
          <w:sz w:val="24"/>
          <w:szCs w:val="24"/>
          <w:shd w:val="clear" w:color="auto" w:fill="FFFFFF"/>
        </w:rPr>
      </w:pPr>
      <w:r w:rsidRPr="00634BC9">
        <w:rPr>
          <w:rFonts w:ascii="Arial" w:hAnsi="Arial" w:cs="Arial"/>
          <w:color w:val="000000"/>
          <w:sz w:val="24"/>
          <w:szCs w:val="24"/>
          <w:shd w:val="clear" w:color="auto" w:fill="FFFFFF"/>
        </w:rPr>
        <w:t xml:space="preserve">Las modificaciones </w:t>
      </w:r>
      <w:proofErr w:type="spellStart"/>
      <w:r w:rsidRPr="00634BC9">
        <w:rPr>
          <w:rFonts w:ascii="Arial" w:hAnsi="Arial" w:cs="Arial"/>
          <w:color w:val="000000"/>
          <w:sz w:val="24"/>
          <w:szCs w:val="24"/>
          <w:shd w:val="clear" w:color="auto" w:fill="FFFFFF"/>
        </w:rPr>
        <w:t>postsinápticas</w:t>
      </w:r>
      <w:proofErr w:type="spellEnd"/>
      <w:r w:rsidRPr="00634BC9">
        <w:rPr>
          <w:rFonts w:ascii="Arial" w:hAnsi="Arial" w:cs="Arial"/>
          <w:color w:val="000000"/>
          <w:sz w:val="24"/>
          <w:szCs w:val="24"/>
          <w:shd w:val="clear" w:color="auto" w:fill="FFFFFF"/>
        </w:rPr>
        <w:t xml:space="preserve"> del sistema </w:t>
      </w:r>
      <w:proofErr w:type="spellStart"/>
      <w:r w:rsidRPr="00634BC9">
        <w:rPr>
          <w:rFonts w:ascii="Arial" w:hAnsi="Arial" w:cs="Arial"/>
          <w:color w:val="000000"/>
          <w:sz w:val="24"/>
          <w:szCs w:val="24"/>
          <w:shd w:val="clear" w:color="auto" w:fill="FFFFFF"/>
        </w:rPr>
        <w:t>GABAérgico</w:t>
      </w:r>
      <w:proofErr w:type="spellEnd"/>
      <w:r w:rsidRPr="00634BC9">
        <w:rPr>
          <w:rFonts w:ascii="Arial" w:hAnsi="Arial" w:cs="Arial"/>
          <w:color w:val="000000"/>
          <w:sz w:val="24"/>
          <w:szCs w:val="24"/>
          <w:shd w:val="clear" w:color="auto" w:fill="FFFFFF"/>
        </w:rPr>
        <w:t xml:space="preserve"> son un mecanismo común de las abstinencias que inducen el alcohol, las benzodiacepinas, los neuroesteroides y los barbitúricos.</w:t>
      </w:r>
      <w:r w:rsidRPr="00634BC9">
        <w:rPr>
          <w:rFonts w:ascii="Arial" w:hAnsi="Arial" w:cs="Arial"/>
          <w:color w:val="000000"/>
          <w:sz w:val="24"/>
          <w:szCs w:val="24"/>
          <w:shd w:val="clear" w:color="auto" w:fill="FFFFFF"/>
          <w:vertAlign w:val="superscript"/>
        </w:rPr>
        <w:t xml:space="preserve"> </w:t>
      </w:r>
      <w:r w:rsidRPr="00634BC9">
        <w:rPr>
          <w:rFonts w:ascii="Arial" w:hAnsi="Arial" w:cs="Arial"/>
          <w:color w:val="000000"/>
          <w:sz w:val="24"/>
          <w:szCs w:val="24"/>
          <w:shd w:val="clear" w:color="auto" w:fill="FFFFFF"/>
        </w:rPr>
        <w:t>En el campo de la Psiquiatría y de las Neurociencias se tiene, el consenso de que los cambios en el receptor GABA</w:t>
      </w:r>
      <w:r w:rsidRPr="00634BC9">
        <w:rPr>
          <w:rFonts w:ascii="Arial" w:hAnsi="Arial" w:cs="Arial"/>
          <w:color w:val="000000"/>
          <w:sz w:val="24"/>
          <w:szCs w:val="24"/>
          <w:shd w:val="clear" w:color="auto" w:fill="FFFFFF"/>
          <w:vertAlign w:val="subscript"/>
        </w:rPr>
        <w:t>A</w:t>
      </w:r>
      <w:r w:rsidRPr="00634BC9">
        <w:rPr>
          <w:rFonts w:ascii="Arial" w:hAnsi="Arial" w:cs="Arial"/>
          <w:color w:val="000000"/>
          <w:sz w:val="24"/>
          <w:szCs w:val="24"/>
          <w:shd w:val="clear" w:color="auto" w:fill="FFFFFF"/>
        </w:rPr>
        <w:t xml:space="preserve"> son una consecuencia farmacológica de la abstinencia de su ligando. Se tiene documentado ampliamente que en condiciones de abstinencia se expresan nuevos </w:t>
      </w:r>
      <w:r w:rsidRPr="00634BC9">
        <w:rPr>
          <w:rFonts w:ascii="Arial" w:hAnsi="Arial" w:cs="Arial"/>
          <w:color w:val="000000"/>
          <w:sz w:val="24"/>
          <w:szCs w:val="24"/>
          <w:shd w:val="clear" w:color="auto" w:fill="FFFFFF"/>
        </w:rPr>
        <w:lastRenderedPageBreak/>
        <w:t>receptores GABA</w:t>
      </w:r>
      <w:r w:rsidRPr="00634BC9">
        <w:rPr>
          <w:rFonts w:ascii="Arial" w:hAnsi="Arial" w:cs="Arial"/>
          <w:color w:val="000000"/>
          <w:sz w:val="24"/>
          <w:szCs w:val="24"/>
          <w:shd w:val="clear" w:color="auto" w:fill="FFFFFF"/>
          <w:vertAlign w:val="subscript"/>
        </w:rPr>
        <w:t>A</w:t>
      </w:r>
      <w:r w:rsidRPr="00634BC9">
        <w:rPr>
          <w:rFonts w:ascii="Arial" w:hAnsi="Arial" w:cs="Arial"/>
          <w:color w:val="000000"/>
          <w:sz w:val="24"/>
          <w:szCs w:val="24"/>
          <w:shd w:val="clear" w:color="auto" w:fill="FFFFFF"/>
        </w:rPr>
        <w:t>, los cuales son menos funcionales o que farmacológicamente muestran una disminución en la sensibilidad a los agonistas que lo activan. Este evento tiene como origen molecular el incremento o la disminución de la expresión de algunos tipos de subunidades que conforman al receptor GABA</w:t>
      </w:r>
      <w:r w:rsidRPr="00634BC9">
        <w:rPr>
          <w:rFonts w:ascii="Arial" w:hAnsi="Arial" w:cs="Arial"/>
          <w:color w:val="000000"/>
          <w:sz w:val="24"/>
          <w:szCs w:val="24"/>
          <w:shd w:val="clear" w:color="auto" w:fill="FFFFFF"/>
          <w:vertAlign w:val="subscript"/>
        </w:rPr>
        <w:t>A</w:t>
      </w:r>
      <w:r w:rsidRPr="00634BC9">
        <w:rPr>
          <w:rFonts w:ascii="Arial" w:hAnsi="Arial" w:cs="Arial"/>
          <w:color w:val="000000"/>
          <w:sz w:val="24"/>
          <w:szCs w:val="24"/>
          <w:shd w:val="clear" w:color="auto" w:fill="FFFFFF"/>
        </w:rPr>
        <w:t>.</w:t>
      </w:r>
      <w:r w:rsidRPr="00634BC9">
        <w:rPr>
          <w:rFonts w:ascii="Arial" w:hAnsi="Arial" w:cs="Arial"/>
          <w:color w:val="000000"/>
          <w:sz w:val="24"/>
          <w:szCs w:val="24"/>
          <w:shd w:val="clear" w:color="auto" w:fill="FFFFFF"/>
          <w:vertAlign w:val="superscript"/>
        </w:rPr>
        <w:t xml:space="preserve"> </w:t>
      </w:r>
      <w:r w:rsidRPr="00634BC9">
        <w:rPr>
          <w:rFonts w:ascii="Arial" w:hAnsi="Arial" w:cs="Arial"/>
          <w:color w:val="000000"/>
          <w:sz w:val="24"/>
          <w:szCs w:val="24"/>
          <w:shd w:val="clear" w:color="auto" w:fill="FFFFFF"/>
        </w:rPr>
        <w:t>Así, por ejemplo, el diazepam disminuye la expresión de las subunidades α1, β2 y γ2 e incrementa la expresión de la subunidad a5 reduciendo la sensibilidad farmacológica del receptor (Calixto, 2012).</w:t>
      </w:r>
    </w:p>
    <w:p w:rsidR="004E0B0A" w:rsidRPr="00634BC9" w:rsidRDefault="004E0B0A" w:rsidP="00C04C60">
      <w:pPr>
        <w:widowControl w:val="0"/>
        <w:ind w:left="-284" w:firstLine="992"/>
        <w:jc w:val="both"/>
        <w:rPr>
          <w:rFonts w:ascii="Arial" w:hAnsi="Arial" w:cs="Arial"/>
          <w:sz w:val="24"/>
          <w:szCs w:val="24"/>
        </w:rPr>
      </w:pPr>
      <w:r w:rsidRPr="00634BC9">
        <w:rPr>
          <w:rFonts w:ascii="Arial" w:hAnsi="Arial" w:cs="Arial"/>
          <w:sz w:val="24"/>
          <w:szCs w:val="24"/>
        </w:rPr>
        <w:t xml:space="preserve">En la búsqueda de nuevos agentes anticonvulsivos, Carvajal y colaboradores (1964) sintetizaron una serie homóloga de </w:t>
      </w:r>
      <w:proofErr w:type="spellStart"/>
      <w:r w:rsidRPr="00634BC9">
        <w:rPr>
          <w:rFonts w:ascii="Arial" w:hAnsi="Arial" w:cs="Arial"/>
          <w:sz w:val="24"/>
          <w:szCs w:val="24"/>
        </w:rPr>
        <w:t>fenil</w:t>
      </w:r>
      <w:proofErr w:type="spellEnd"/>
      <w:r w:rsidRPr="00634BC9">
        <w:rPr>
          <w:rFonts w:ascii="Arial" w:hAnsi="Arial" w:cs="Arial"/>
          <w:sz w:val="24"/>
          <w:szCs w:val="24"/>
        </w:rPr>
        <w:t>-</w:t>
      </w:r>
      <w:proofErr w:type="spellStart"/>
      <w:r w:rsidRPr="00634BC9">
        <w:rPr>
          <w:rFonts w:ascii="Arial" w:hAnsi="Arial" w:cs="Arial"/>
          <w:sz w:val="24"/>
          <w:szCs w:val="24"/>
        </w:rPr>
        <w:t>alquil</w:t>
      </w:r>
      <w:proofErr w:type="spellEnd"/>
      <w:r w:rsidRPr="00634BC9">
        <w:rPr>
          <w:rFonts w:ascii="Arial" w:hAnsi="Arial" w:cs="Arial"/>
          <w:sz w:val="24"/>
          <w:szCs w:val="24"/>
        </w:rPr>
        <w:t xml:space="preserve">-amidas con marcada actividad anticonvulsivante, de las cuales el DL-3-hidroxi-3-etil-3-fenil-propionamida (HEPP) demostró ser el menos neurotóxico, por lo que se utilizó en diversos modelos de crisis convulsivas; en el modelo con </w:t>
      </w:r>
      <w:proofErr w:type="spellStart"/>
      <w:r w:rsidRPr="00634BC9">
        <w:rPr>
          <w:rFonts w:ascii="Arial" w:hAnsi="Arial" w:cs="Arial"/>
          <w:sz w:val="24"/>
          <w:szCs w:val="24"/>
        </w:rPr>
        <w:t>pentilentetrazol</w:t>
      </w:r>
      <w:proofErr w:type="spellEnd"/>
      <w:r w:rsidRPr="00634BC9">
        <w:rPr>
          <w:rFonts w:ascii="Arial" w:hAnsi="Arial" w:cs="Arial"/>
          <w:sz w:val="24"/>
          <w:szCs w:val="24"/>
        </w:rPr>
        <w:t xml:space="preserve"> (PTZ) en ratas, se encontró una relación directa entre el efecto anticonvulsivante y la concentración de fármaco en el cerebro (Javier </w:t>
      </w:r>
      <w:r w:rsidRPr="00634BC9">
        <w:rPr>
          <w:rFonts w:ascii="Arial" w:hAnsi="Arial" w:cs="Arial"/>
          <w:i/>
          <w:sz w:val="24"/>
          <w:szCs w:val="24"/>
        </w:rPr>
        <w:t>et al</w:t>
      </w:r>
      <w:r w:rsidRPr="00634BC9">
        <w:rPr>
          <w:rFonts w:ascii="Arial" w:hAnsi="Arial" w:cs="Arial"/>
          <w:sz w:val="24"/>
          <w:szCs w:val="24"/>
        </w:rPr>
        <w:t xml:space="preserve">., 1996). </w:t>
      </w:r>
    </w:p>
    <w:p w:rsidR="004E0B0A" w:rsidRPr="00634BC9" w:rsidRDefault="004E0B0A" w:rsidP="00C04C60">
      <w:pPr>
        <w:widowControl w:val="0"/>
        <w:ind w:left="-284" w:firstLine="992"/>
        <w:jc w:val="both"/>
        <w:rPr>
          <w:rFonts w:ascii="Arial" w:hAnsi="Arial" w:cs="Arial"/>
          <w:sz w:val="24"/>
          <w:szCs w:val="24"/>
        </w:rPr>
      </w:pPr>
      <w:r w:rsidRPr="00634BC9">
        <w:rPr>
          <w:rFonts w:ascii="Arial" w:hAnsi="Arial" w:cs="Arial"/>
          <w:sz w:val="24"/>
          <w:szCs w:val="24"/>
        </w:rPr>
        <w:t xml:space="preserve">Del mismo modo, el HEPP mostró un efecto anticonvulsivo en el modelo del SAG, en el que por primera vez se cuantificó una disminución en la frecuencia de descargas del foco epiléptico producidas por la interrupción abrupta de la instilación </w:t>
      </w:r>
      <w:proofErr w:type="spellStart"/>
      <w:r w:rsidRPr="00634BC9">
        <w:rPr>
          <w:rFonts w:ascii="Arial" w:hAnsi="Arial" w:cs="Arial"/>
          <w:sz w:val="24"/>
          <w:szCs w:val="24"/>
        </w:rPr>
        <w:t>intracortical</w:t>
      </w:r>
      <w:proofErr w:type="spellEnd"/>
      <w:r w:rsidRPr="00634BC9">
        <w:rPr>
          <w:rFonts w:ascii="Arial" w:hAnsi="Arial" w:cs="Arial"/>
          <w:sz w:val="24"/>
          <w:szCs w:val="24"/>
        </w:rPr>
        <w:t xml:space="preserve"> de GABA.</w:t>
      </w:r>
    </w:p>
    <w:p w:rsidR="004E0B0A" w:rsidRPr="00634BC9" w:rsidRDefault="004E0B0A" w:rsidP="00215EAE">
      <w:pPr>
        <w:widowControl w:val="0"/>
        <w:ind w:left="-284" w:firstLine="284"/>
        <w:jc w:val="both"/>
        <w:rPr>
          <w:rFonts w:ascii="Arial" w:hAnsi="Arial" w:cs="Arial"/>
          <w:sz w:val="24"/>
          <w:szCs w:val="24"/>
        </w:rPr>
      </w:pPr>
      <w:r w:rsidRPr="00634BC9">
        <w:rPr>
          <w:rFonts w:ascii="Arial" w:hAnsi="Arial" w:cs="Arial"/>
          <w:sz w:val="24"/>
          <w:szCs w:val="24"/>
        </w:rPr>
        <w:t xml:space="preserve"> </w:t>
      </w:r>
      <w:r w:rsidR="00C04C60">
        <w:rPr>
          <w:rFonts w:ascii="Arial" w:hAnsi="Arial" w:cs="Arial"/>
          <w:sz w:val="24"/>
          <w:szCs w:val="24"/>
        </w:rPr>
        <w:tab/>
      </w:r>
      <w:r w:rsidRPr="00634BC9">
        <w:rPr>
          <w:rFonts w:ascii="Arial" w:hAnsi="Arial" w:cs="Arial"/>
          <w:sz w:val="24"/>
          <w:szCs w:val="24"/>
        </w:rPr>
        <w:t xml:space="preserve">En los animales en los que el HEPP fue administrado 60 min después de iniciado el SAG, la frecuencia de descarga de la actividad paroxística disminuyó significativamente, sin afectar la amplitud de la descarga ni su propagación al lado homólogo contralateral. Ese efecto sin embargo fue parcial y de corta duración, ya que no logró suprimir totalmente las descargas paroxísticas y su actividad sólo se </w:t>
      </w:r>
      <w:proofErr w:type="gramStart"/>
      <w:r w:rsidRPr="00634BC9">
        <w:rPr>
          <w:rFonts w:ascii="Arial" w:hAnsi="Arial" w:cs="Arial"/>
          <w:sz w:val="24"/>
          <w:szCs w:val="24"/>
        </w:rPr>
        <w:t>mantuvo</w:t>
      </w:r>
      <w:proofErr w:type="gramEnd"/>
      <w:r w:rsidRPr="00634BC9">
        <w:rPr>
          <w:rFonts w:ascii="Arial" w:hAnsi="Arial" w:cs="Arial"/>
          <w:sz w:val="24"/>
          <w:szCs w:val="24"/>
        </w:rPr>
        <w:t xml:space="preserve"> durante 90 min (</w:t>
      </w:r>
      <w:proofErr w:type="spellStart"/>
      <w:r w:rsidRPr="00634BC9">
        <w:rPr>
          <w:rFonts w:ascii="Arial" w:hAnsi="Arial" w:cs="Arial"/>
          <w:sz w:val="24"/>
          <w:szCs w:val="24"/>
        </w:rPr>
        <w:t>Brailowsky</w:t>
      </w:r>
      <w:proofErr w:type="spellEnd"/>
      <w:r w:rsidRPr="00634BC9">
        <w:rPr>
          <w:rFonts w:ascii="Arial" w:hAnsi="Arial" w:cs="Arial"/>
          <w:sz w:val="24"/>
          <w:szCs w:val="24"/>
        </w:rPr>
        <w:t xml:space="preserve"> y Montiel, 1996).</w:t>
      </w:r>
    </w:p>
    <w:p w:rsidR="004E0B0A" w:rsidRPr="00EB6020" w:rsidRDefault="004E0B0A" w:rsidP="00C04C60">
      <w:pPr>
        <w:widowControl w:val="0"/>
        <w:ind w:left="-284" w:firstLine="992"/>
        <w:jc w:val="both"/>
        <w:rPr>
          <w:rFonts w:ascii="Arial" w:hAnsi="Arial" w:cs="Arial"/>
          <w:sz w:val="24"/>
          <w:szCs w:val="24"/>
        </w:rPr>
      </w:pPr>
      <w:r w:rsidRPr="00EB6020">
        <w:rPr>
          <w:rFonts w:ascii="Arial" w:hAnsi="Arial" w:cs="Arial"/>
          <w:sz w:val="24"/>
          <w:szCs w:val="24"/>
        </w:rPr>
        <w:t xml:space="preserve">El SAG es farmacológicamente refractario en su inicio, solo un fármaco disminuye esta hiperexcitabilidad, éste es el HEPP. Esta es la primera vez que se investiga el efecto del </w:t>
      </w:r>
      <w:r w:rsidRPr="00EB6020">
        <w:rPr>
          <w:rFonts w:ascii="Arial" w:hAnsi="Arial" w:cs="Arial"/>
          <w:bCs/>
          <w:sz w:val="24"/>
          <w:szCs w:val="24"/>
        </w:rPr>
        <w:t>DICF3-</w:t>
      </w:r>
      <w:r w:rsidRPr="00EB6020">
        <w:rPr>
          <w:rFonts w:ascii="Arial" w:hAnsi="Arial" w:cs="Arial"/>
          <w:sz w:val="24"/>
          <w:szCs w:val="24"/>
        </w:rPr>
        <w:t>HEPA un análogo menos polar que el HEPP.</w:t>
      </w:r>
    </w:p>
    <w:p w:rsidR="005B37CC" w:rsidRDefault="004E0B0A" w:rsidP="00215EAE">
      <w:pPr>
        <w:ind w:left="-284" w:firstLine="284"/>
        <w:rPr>
          <w:rFonts w:ascii="Arial" w:hAnsi="Arial" w:cs="Arial"/>
          <w:b/>
          <w:sz w:val="24"/>
          <w:szCs w:val="24"/>
        </w:rPr>
      </w:pPr>
      <w:r>
        <w:rPr>
          <w:rFonts w:ascii="Arial" w:hAnsi="Arial" w:cs="Arial"/>
          <w:b/>
          <w:sz w:val="24"/>
          <w:szCs w:val="24"/>
        </w:rPr>
        <w:t>Planteamiento del problema</w:t>
      </w:r>
    </w:p>
    <w:p w:rsidR="00634BC9" w:rsidRDefault="00634BC9" w:rsidP="00C04C60">
      <w:pPr>
        <w:widowControl w:val="0"/>
        <w:ind w:left="-284" w:firstLine="992"/>
        <w:jc w:val="both"/>
        <w:rPr>
          <w:rFonts w:ascii="Arial" w:eastAsia="Arial" w:hAnsi="Arial" w:cs="Arial"/>
          <w:sz w:val="24"/>
          <w:szCs w:val="24"/>
        </w:rPr>
      </w:pPr>
      <w:r w:rsidRPr="00634BC9">
        <w:rPr>
          <w:rFonts w:ascii="Arial" w:eastAsia="Arial" w:hAnsi="Arial" w:cs="Arial"/>
          <w:sz w:val="24"/>
          <w:szCs w:val="24"/>
        </w:rPr>
        <w:lastRenderedPageBreak/>
        <w:t xml:space="preserve">Se pretende identificar si la aplicación </w:t>
      </w:r>
      <w:r w:rsidRPr="00634BC9">
        <w:rPr>
          <w:rFonts w:ascii="Arial" w:hAnsi="Arial" w:cs="Arial"/>
          <w:sz w:val="24"/>
          <w:szCs w:val="24"/>
        </w:rPr>
        <w:t xml:space="preserve">del </w:t>
      </w:r>
      <w:r w:rsidRPr="00634BC9">
        <w:rPr>
          <w:rFonts w:ascii="Arial" w:hAnsi="Arial" w:cs="Arial"/>
          <w:b/>
          <w:bCs/>
          <w:sz w:val="24"/>
          <w:szCs w:val="24"/>
        </w:rPr>
        <w:t>DICF3-</w:t>
      </w:r>
      <w:r w:rsidRPr="00634BC9">
        <w:rPr>
          <w:rFonts w:ascii="Arial" w:hAnsi="Arial" w:cs="Arial"/>
          <w:sz w:val="24"/>
          <w:szCs w:val="24"/>
        </w:rPr>
        <w:t>HEPA</w:t>
      </w:r>
      <w:r w:rsidRPr="00634BC9">
        <w:rPr>
          <w:rFonts w:ascii="Arial" w:eastAsia="Arial" w:hAnsi="Arial" w:cs="Arial"/>
          <w:sz w:val="24"/>
          <w:szCs w:val="24"/>
        </w:rPr>
        <w:t xml:space="preserve">, </w:t>
      </w:r>
      <w:r>
        <w:rPr>
          <w:rFonts w:ascii="Arial" w:eastAsia="Arial" w:hAnsi="Arial" w:cs="Arial"/>
          <w:sz w:val="24"/>
          <w:szCs w:val="24"/>
        </w:rPr>
        <w:t>disminuye</w:t>
      </w:r>
      <w:r w:rsidRPr="00634BC9">
        <w:rPr>
          <w:rFonts w:ascii="Arial" w:eastAsia="Arial" w:hAnsi="Arial" w:cs="Arial"/>
          <w:sz w:val="24"/>
          <w:szCs w:val="24"/>
        </w:rPr>
        <w:t xml:space="preserve"> la hiperexcitabilidad del Síndrome de Abstinencia a GABA, y si la adminis</w:t>
      </w:r>
      <w:r w:rsidR="00EB6020">
        <w:rPr>
          <w:rFonts w:ascii="Arial" w:eastAsia="Arial" w:hAnsi="Arial" w:cs="Arial"/>
          <w:sz w:val="24"/>
          <w:szCs w:val="24"/>
        </w:rPr>
        <w:t>tración de este fármaco</w:t>
      </w:r>
      <w:r>
        <w:rPr>
          <w:rFonts w:ascii="Arial" w:eastAsia="Arial" w:hAnsi="Arial" w:cs="Arial"/>
          <w:sz w:val="24"/>
          <w:szCs w:val="24"/>
        </w:rPr>
        <w:t xml:space="preserve"> modifica</w:t>
      </w:r>
      <w:r w:rsidRPr="00634BC9">
        <w:rPr>
          <w:rFonts w:ascii="Arial" w:eastAsia="Arial" w:hAnsi="Arial" w:cs="Arial"/>
          <w:sz w:val="24"/>
          <w:szCs w:val="24"/>
        </w:rPr>
        <w:t xml:space="preserve"> el perfil tipo ansioso que induce el SAG.</w:t>
      </w:r>
    </w:p>
    <w:p w:rsidR="00C04C60" w:rsidRDefault="00C04C60" w:rsidP="00215EAE">
      <w:pPr>
        <w:ind w:left="-284" w:firstLine="284"/>
        <w:rPr>
          <w:rFonts w:ascii="Arial" w:hAnsi="Arial" w:cs="Arial"/>
          <w:b/>
          <w:sz w:val="24"/>
          <w:szCs w:val="24"/>
        </w:rPr>
      </w:pPr>
    </w:p>
    <w:p w:rsidR="0056245D" w:rsidRDefault="00634BC9" w:rsidP="00215EAE">
      <w:pPr>
        <w:ind w:left="-284" w:firstLine="284"/>
        <w:rPr>
          <w:rFonts w:ascii="Arial" w:hAnsi="Arial" w:cs="Arial"/>
          <w:b/>
          <w:sz w:val="24"/>
          <w:szCs w:val="24"/>
        </w:rPr>
      </w:pPr>
      <w:r>
        <w:rPr>
          <w:rFonts w:ascii="Arial" w:hAnsi="Arial" w:cs="Arial"/>
          <w:b/>
          <w:sz w:val="24"/>
          <w:szCs w:val="24"/>
        </w:rPr>
        <w:t>Material y Método</w:t>
      </w:r>
    </w:p>
    <w:p w:rsidR="00634BC9" w:rsidRPr="003744D0" w:rsidRDefault="00634BC9" w:rsidP="00C04C60">
      <w:pPr>
        <w:widowControl w:val="0"/>
        <w:ind w:left="-284" w:firstLine="284"/>
        <w:rPr>
          <w:rFonts w:ascii="Arial" w:hAnsi="Arial" w:cs="Arial"/>
        </w:rPr>
      </w:pPr>
      <w:r w:rsidRPr="003744D0">
        <w:rPr>
          <w:rFonts w:ascii="Arial" w:eastAsia="Arial" w:hAnsi="Arial" w:cs="Arial"/>
          <w:b/>
        </w:rPr>
        <w:t>Sujetos</w:t>
      </w:r>
    </w:p>
    <w:p w:rsidR="00634BC9" w:rsidRPr="003744D0" w:rsidRDefault="00634BC9" w:rsidP="00C04C60">
      <w:pPr>
        <w:widowControl w:val="0"/>
        <w:ind w:left="-284" w:firstLine="992"/>
        <w:jc w:val="both"/>
        <w:rPr>
          <w:rFonts w:ascii="Arial" w:hAnsi="Arial" w:cs="Arial"/>
        </w:rPr>
      </w:pPr>
      <w:r w:rsidRPr="003744D0">
        <w:rPr>
          <w:rFonts w:ascii="Arial" w:eastAsia="Arial" w:hAnsi="Arial" w:cs="Arial"/>
        </w:rPr>
        <w:t>Se utilizaron</w:t>
      </w:r>
      <w:r w:rsidRPr="003744D0">
        <w:rPr>
          <w:rFonts w:ascii="Arial" w:eastAsia="Arial" w:hAnsi="Arial" w:cs="Arial"/>
          <w:color w:val="FF0000"/>
        </w:rPr>
        <w:t xml:space="preserve"> </w:t>
      </w:r>
      <w:r>
        <w:rPr>
          <w:rFonts w:ascii="Arial" w:eastAsia="Arial" w:hAnsi="Arial" w:cs="Arial"/>
        </w:rPr>
        <w:t>7</w:t>
      </w:r>
      <w:r w:rsidRPr="003744D0">
        <w:rPr>
          <w:rFonts w:ascii="Arial" w:eastAsia="Arial" w:hAnsi="Arial" w:cs="Arial"/>
          <w:color w:val="FF0000"/>
        </w:rPr>
        <w:t xml:space="preserve"> </w:t>
      </w:r>
      <w:r w:rsidRPr="003744D0">
        <w:rPr>
          <w:rFonts w:ascii="Arial" w:eastAsia="Arial" w:hAnsi="Arial" w:cs="Arial"/>
        </w:rPr>
        <w:t xml:space="preserve">ratas macho de la cepa Wistar (250-300g), proporcionadas por el bioterio del Instituto Nacional de Psiquiatría “Ramón de la Fuente Muñiz” (INPRF), las cuales se mantuvieron en condiciones estandarizadas de temperatura (20-25°C), agua y alimento </w:t>
      </w:r>
      <w:r>
        <w:rPr>
          <w:rFonts w:ascii="Arial" w:eastAsia="Arial" w:hAnsi="Arial" w:cs="Arial"/>
          <w:i/>
        </w:rPr>
        <w:t>ad lib</w:t>
      </w:r>
      <w:r w:rsidRPr="003744D0">
        <w:rPr>
          <w:rFonts w:ascii="Arial" w:eastAsia="Arial" w:hAnsi="Arial" w:cs="Arial"/>
          <w:i/>
        </w:rPr>
        <w:t xml:space="preserve">itum, </w:t>
      </w:r>
      <w:r w:rsidRPr="003744D0">
        <w:rPr>
          <w:rFonts w:ascii="Arial" w:eastAsia="Arial" w:hAnsi="Arial" w:cs="Arial"/>
        </w:rPr>
        <w:t>con ciclo de luz oscuridad invertido 12:12</w:t>
      </w:r>
      <w:r>
        <w:rPr>
          <w:rFonts w:ascii="Arial" w:eastAsia="Arial" w:hAnsi="Arial" w:cs="Arial"/>
        </w:rPr>
        <w:t xml:space="preserve"> hrs</w:t>
      </w:r>
      <w:r w:rsidRPr="003744D0">
        <w:rPr>
          <w:rFonts w:ascii="Arial" w:eastAsia="Arial" w:hAnsi="Arial" w:cs="Arial"/>
        </w:rPr>
        <w:t xml:space="preserve"> y de acuerdo a las normas establecidas en la guía para el cuidado y uso de animales de</w:t>
      </w:r>
      <w:r>
        <w:rPr>
          <w:rFonts w:ascii="Arial" w:eastAsia="Arial" w:hAnsi="Arial" w:cs="Arial"/>
        </w:rPr>
        <w:t>l</w:t>
      </w:r>
      <w:r w:rsidRPr="003744D0">
        <w:rPr>
          <w:rFonts w:ascii="Arial" w:eastAsia="Arial" w:hAnsi="Arial" w:cs="Arial"/>
        </w:rPr>
        <w:t xml:space="preserve"> laboratorio de la Academia Nacional de Medicina (1999); en todos los procedimientos experimentales se evitó cualquier daño o sufrimiento innecesario de los animales. Los sujetos de experimentación fueron alojados en cajas individuales de acrílico transparentes, y permanecieron así hasta el final del procedimiento. Cada uno de los experimentos se realizó durante el ciclo de oscuridad de las ratas macho.</w:t>
      </w:r>
    </w:p>
    <w:p w:rsidR="00634BC9" w:rsidRPr="003744D0" w:rsidRDefault="00634BC9" w:rsidP="00215EAE">
      <w:pPr>
        <w:widowControl w:val="0"/>
        <w:ind w:left="-284" w:firstLine="284"/>
        <w:rPr>
          <w:rFonts w:ascii="Arial" w:hAnsi="Arial" w:cs="Arial"/>
        </w:rPr>
      </w:pPr>
      <w:r w:rsidRPr="003744D0">
        <w:rPr>
          <w:rFonts w:ascii="Arial" w:eastAsia="Arial" w:hAnsi="Arial" w:cs="Arial"/>
          <w:b/>
        </w:rPr>
        <w:t>Sustancias utilizadas en est</w:t>
      </w:r>
      <w:r>
        <w:rPr>
          <w:rFonts w:ascii="Arial" w:eastAsia="Arial" w:hAnsi="Arial" w:cs="Arial"/>
          <w:b/>
        </w:rPr>
        <w:t>a investigación</w:t>
      </w:r>
    </w:p>
    <w:p w:rsidR="00634BC9" w:rsidRPr="003744D0" w:rsidRDefault="00634BC9" w:rsidP="00C04C60">
      <w:pPr>
        <w:widowControl w:val="0"/>
        <w:ind w:left="-284" w:firstLine="992"/>
        <w:jc w:val="both"/>
        <w:rPr>
          <w:rFonts w:ascii="Arial" w:hAnsi="Arial" w:cs="Arial"/>
        </w:rPr>
      </w:pPr>
      <w:r w:rsidRPr="003744D0">
        <w:rPr>
          <w:rFonts w:ascii="Arial" w:eastAsia="Arial" w:hAnsi="Arial" w:cs="Arial"/>
        </w:rPr>
        <w:t xml:space="preserve">Para la </w:t>
      </w:r>
      <w:r>
        <w:rPr>
          <w:rFonts w:ascii="Arial" w:eastAsia="Arial" w:hAnsi="Arial" w:cs="Arial"/>
        </w:rPr>
        <w:t>colocación</w:t>
      </w:r>
      <w:r w:rsidRPr="003744D0">
        <w:rPr>
          <w:rFonts w:ascii="Arial" w:eastAsia="Arial" w:hAnsi="Arial" w:cs="Arial"/>
        </w:rPr>
        <w:t xml:space="preserve"> del complejo cánula/electrodo conector se anestesió a los animales con </w:t>
      </w:r>
      <w:proofErr w:type="spellStart"/>
      <w:r w:rsidRPr="003744D0">
        <w:rPr>
          <w:rFonts w:ascii="Arial" w:eastAsia="Arial" w:hAnsi="Arial" w:cs="Arial"/>
        </w:rPr>
        <w:t>pentobarbital</w:t>
      </w:r>
      <w:proofErr w:type="spellEnd"/>
      <w:r w:rsidRPr="003744D0">
        <w:rPr>
          <w:rFonts w:ascii="Arial" w:eastAsia="Arial" w:hAnsi="Arial" w:cs="Arial"/>
        </w:rPr>
        <w:t xml:space="preserve"> sódico (</w:t>
      </w:r>
      <w:proofErr w:type="spellStart"/>
      <w:r w:rsidRPr="003744D0">
        <w:rPr>
          <w:rFonts w:ascii="Arial" w:eastAsia="Arial" w:hAnsi="Arial" w:cs="Arial"/>
        </w:rPr>
        <w:t>Pis</w:t>
      </w:r>
      <w:r>
        <w:rPr>
          <w:rFonts w:ascii="Arial" w:eastAsia="Arial" w:hAnsi="Arial" w:cs="Arial"/>
        </w:rPr>
        <w:t>abetal</w:t>
      </w:r>
      <w:proofErr w:type="spellEnd"/>
      <w:r>
        <w:rPr>
          <w:rFonts w:ascii="Arial" w:eastAsia="Arial" w:hAnsi="Arial" w:cs="Arial"/>
        </w:rPr>
        <w:t xml:space="preserve">® 50 mg/Kg, México) </w:t>
      </w:r>
      <w:r w:rsidRPr="00F763C8">
        <w:rPr>
          <w:rFonts w:ascii="Arial" w:eastAsia="Arial" w:hAnsi="Arial" w:cs="Arial"/>
        </w:rPr>
        <w:t>diluido en cloruro de Sodio</w:t>
      </w:r>
      <w:r w:rsidRPr="003744D0">
        <w:rPr>
          <w:rFonts w:ascii="Arial" w:eastAsia="Arial" w:hAnsi="Arial" w:cs="Arial"/>
        </w:rPr>
        <w:t xml:space="preserve"> (J.T Baker®, USA). Como anestésico local se usó</w:t>
      </w:r>
      <w:r>
        <w:rPr>
          <w:rFonts w:ascii="Arial" w:eastAsia="Arial" w:hAnsi="Arial" w:cs="Arial"/>
        </w:rPr>
        <w:t xml:space="preserve"> </w:t>
      </w:r>
      <w:proofErr w:type="spellStart"/>
      <w:r>
        <w:rPr>
          <w:rFonts w:ascii="Arial" w:eastAsia="Arial" w:hAnsi="Arial" w:cs="Arial"/>
        </w:rPr>
        <w:t>xylocaí</w:t>
      </w:r>
      <w:r w:rsidRPr="003744D0">
        <w:rPr>
          <w:rFonts w:ascii="Arial" w:eastAsia="Arial" w:hAnsi="Arial" w:cs="Arial"/>
        </w:rPr>
        <w:t>na</w:t>
      </w:r>
      <w:proofErr w:type="spellEnd"/>
      <w:r w:rsidRPr="003744D0">
        <w:rPr>
          <w:rFonts w:ascii="Arial" w:eastAsia="Arial" w:hAnsi="Arial" w:cs="Arial"/>
        </w:rPr>
        <w:t>® (</w:t>
      </w:r>
      <w:proofErr w:type="spellStart"/>
      <w:r w:rsidRPr="003744D0">
        <w:rPr>
          <w:rFonts w:ascii="Arial" w:eastAsia="Arial" w:hAnsi="Arial" w:cs="Arial"/>
        </w:rPr>
        <w:t>AstraZeneca</w:t>
      </w:r>
      <w:proofErr w:type="spellEnd"/>
      <w:r w:rsidRPr="003744D0">
        <w:rPr>
          <w:rFonts w:ascii="Arial" w:eastAsia="Arial" w:hAnsi="Arial" w:cs="Arial"/>
        </w:rPr>
        <w:t xml:space="preserve"> S.A de C.V solución inyectable al 2% /50ml).</w:t>
      </w:r>
    </w:p>
    <w:p w:rsidR="00634BC9" w:rsidRPr="003744D0" w:rsidRDefault="00634BC9" w:rsidP="00C04C60">
      <w:pPr>
        <w:widowControl w:val="0"/>
        <w:ind w:left="-284" w:firstLine="992"/>
        <w:jc w:val="both"/>
        <w:rPr>
          <w:rFonts w:ascii="Arial" w:hAnsi="Arial" w:cs="Arial"/>
        </w:rPr>
      </w:pPr>
      <w:r w:rsidRPr="003744D0">
        <w:rPr>
          <w:rFonts w:ascii="Arial" w:eastAsia="Arial" w:hAnsi="Arial" w:cs="Arial"/>
        </w:rPr>
        <w:t>Para disminuir la posibilidad de sepsis y de infección, se utilizaron antibiótico (</w:t>
      </w:r>
      <w:proofErr w:type="spellStart"/>
      <w:r w:rsidRPr="003744D0">
        <w:rPr>
          <w:rFonts w:ascii="Arial" w:eastAsia="Arial" w:hAnsi="Arial" w:cs="Arial"/>
        </w:rPr>
        <w:t>bencilpenicilina</w:t>
      </w:r>
      <w:proofErr w:type="spellEnd"/>
      <w:r w:rsidRPr="003744D0">
        <w:rPr>
          <w:rFonts w:ascii="Arial" w:eastAsia="Arial" w:hAnsi="Arial" w:cs="Arial"/>
        </w:rPr>
        <w:t xml:space="preserve"> </w:t>
      </w:r>
      <w:proofErr w:type="spellStart"/>
      <w:r w:rsidRPr="003744D0">
        <w:rPr>
          <w:rFonts w:ascii="Arial" w:eastAsia="Arial" w:hAnsi="Arial" w:cs="Arial"/>
        </w:rPr>
        <w:t>Benzatinica</w:t>
      </w:r>
      <w:proofErr w:type="spellEnd"/>
      <w:r w:rsidRPr="003744D0">
        <w:rPr>
          <w:rFonts w:ascii="Arial" w:eastAsia="Arial" w:hAnsi="Arial" w:cs="Arial"/>
        </w:rPr>
        <w:t xml:space="preserve">, </w:t>
      </w:r>
      <w:proofErr w:type="spellStart"/>
      <w:r w:rsidRPr="003744D0">
        <w:rPr>
          <w:rFonts w:ascii="Arial" w:eastAsia="Arial" w:hAnsi="Arial" w:cs="Arial"/>
        </w:rPr>
        <w:t>Amsa</w:t>
      </w:r>
      <w:proofErr w:type="spellEnd"/>
      <w:r w:rsidRPr="003744D0">
        <w:rPr>
          <w:rFonts w:ascii="Arial" w:eastAsia="Arial" w:hAnsi="Arial" w:cs="Arial"/>
        </w:rPr>
        <w:t xml:space="preserve"> Laboratorios® antibióticos de México, S.A. de C.V), iodo </w:t>
      </w:r>
      <w:proofErr w:type="spellStart"/>
      <w:r w:rsidRPr="003744D0">
        <w:rPr>
          <w:rFonts w:ascii="Arial" w:eastAsia="Arial" w:hAnsi="Arial" w:cs="Arial"/>
        </w:rPr>
        <w:t>povidona</w:t>
      </w:r>
      <w:proofErr w:type="spellEnd"/>
      <w:r w:rsidRPr="003744D0">
        <w:rPr>
          <w:rFonts w:ascii="Arial" w:eastAsia="Arial" w:hAnsi="Arial" w:cs="Arial"/>
        </w:rPr>
        <w:t xml:space="preserve"> (</w:t>
      </w:r>
      <w:proofErr w:type="spellStart"/>
      <w:r w:rsidRPr="003744D0">
        <w:rPr>
          <w:rFonts w:ascii="Arial" w:eastAsia="Arial" w:hAnsi="Arial" w:cs="Arial"/>
        </w:rPr>
        <w:t>Quiromed</w:t>
      </w:r>
      <w:proofErr w:type="spellEnd"/>
      <w:r w:rsidRPr="003744D0">
        <w:rPr>
          <w:rFonts w:ascii="Arial" w:eastAsia="Arial" w:hAnsi="Arial" w:cs="Arial"/>
        </w:rPr>
        <w:t>® 0.8%, México), antiséptico (</w:t>
      </w:r>
      <w:proofErr w:type="spellStart"/>
      <w:r w:rsidRPr="003744D0">
        <w:rPr>
          <w:rFonts w:ascii="Arial" w:eastAsia="Arial" w:hAnsi="Arial" w:cs="Arial"/>
        </w:rPr>
        <w:t>Microdacyn</w:t>
      </w:r>
      <w:proofErr w:type="spellEnd"/>
      <w:r w:rsidRPr="003744D0">
        <w:rPr>
          <w:rFonts w:ascii="Arial" w:eastAsia="Arial" w:hAnsi="Arial" w:cs="Arial"/>
        </w:rPr>
        <w:t xml:space="preserve">®, </w:t>
      </w:r>
      <w:proofErr w:type="spellStart"/>
      <w:r w:rsidRPr="003744D0">
        <w:rPr>
          <w:rFonts w:ascii="Arial" w:eastAsia="Arial" w:hAnsi="Arial" w:cs="Arial"/>
        </w:rPr>
        <w:t>Oculus</w:t>
      </w:r>
      <w:proofErr w:type="spellEnd"/>
      <w:r w:rsidRPr="003744D0">
        <w:rPr>
          <w:rFonts w:ascii="Arial" w:eastAsia="Arial" w:hAnsi="Arial" w:cs="Arial"/>
        </w:rPr>
        <w:t xml:space="preserve"> Technologies de México), </w:t>
      </w:r>
      <w:proofErr w:type="spellStart"/>
      <w:r w:rsidRPr="003744D0">
        <w:rPr>
          <w:rFonts w:ascii="Arial" w:eastAsia="Arial" w:hAnsi="Arial" w:cs="Arial"/>
        </w:rPr>
        <w:t>peroxido</w:t>
      </w:r>
      <w:proofErr w:type="spellEnd"/>
      <w:r w:rsidRPr="003744D0">
        <w:rPr>
          <w:rFonts w:ascii="Arial" w:eastAsia="Arial" w:hAnsi="Arial" w:cs="Arial"/>
        </w:rPr>
        <w:t xml:space="preserve"> de hidrógeno (J.T Baker®, USA) y cloruro de </w:t>
      </w:r>
      <w:proofErr w:type="spellStart"/>
      <w:r w:rsidRPr="003744D0">
        <w:rPr>
          <w:rFonts w:ascii="Arial" w:eastAsia="Arial" w:hAnsi="Arial" w:cs="Arial"/>
        </w:rPr>
        <w:t>benzalconio</w:t>
      </w:r>
      <w:proofErr w:type="spellEnd"/>
      <w:r w:rsidRPr="003744D0">
        <w:rPr>
          <w:rFonts w:ascii="Arial" w:eastAsia="Arial" w:hAnsi="Arial" w:cs="Arial"/>
        </w:rPr>
        <w:t xml:space="preserve"> (</w:t>
      </w:r>
      <w:proofErr w:type="spellStart"/>
      <w:r w:rsidRPr="003744D0">
        <w:rPr>
          <w:rFonts w:ascii="Arial" w:eastAsia="Arial" w:hAnsi="Arial" w:cs="Arial"/>
        </w:rPr>
        <w:t>Antibenzil</w:t>
      </w:r>
      <w:proofErr w:type="spellEnd"/>
      <w:r w:rsidRPr="003744D0">
        <w:rPr>
          <w:rFonts w:ascii="Arial" w:eastAsia="Arial" w:hAnsi="Arial" w:cs="Arial"/>
        </w:rPr>
        <w:t>®, México).</w:t>
      </w:r>
    </w:p>
    <w:p w:rsidR="00634BC9" w:rsidRPr="003744D0" w:rsidRDefault="00634BC9" w:rsidP="00C04C60">
      <w:pPr>
        <w:widowControl w:val="0"/>
        <w:ind w:left="-284" w:firstLine="992"/>
        <w:jc w:val="both"/>
        <w:rPr>
          <w:rFonts w:ascii="Arial" w:hAnsi="Arial" w:cs="Arial"/>
        </w:rPr>
      </w:pPr>
      <w:r w:rsidRPr="003744D0">
        <w:rPr>
          <w:rFonts w:ascii="Arial" w:eastAsia="Arial" w:hAnsi="Arial" w:cs="Arial"/>
        </w:rPr>
        <w:t xml:space="preserve">Para inducir </w:t>
      </w:r>
      <w:r>
        <w:rPr>
          <w:rFonts w:ascii="Arial" w:eastAsia="Arial" w:hAnsi="Arial" w:cs="Arial"/>
        </w:rPr>
        <w:t xml:space="preserve">la </w:t>
      </w:r>
      <w:r w:rsidRPr="003744D0">
        <w:rPr>
          <w:rFonts w:ascii="Arial" w:eastAsia="Arial" w:hAnsi="Arial" w:cs="Arial"/>
        </w:rPr>
        <w:t xml:space="preserve">hiperexcitabilidad neuronal tras el retiro abrupto de instilación </w:t>
      </w:r>
      <w:proofErr w:type="spellStart"/>
      <w:r w:rsidRPr="003744D0">
        <w:rPr>
          <w:rFonts w:ascii="Arial" w:eastAsia="Arial" w:hAnsi="Arial" w:cs="Arial"/>
        </w:rPr>
        <w:t>intracortical</w:t>
      </w:r>
      <w:proofErr w:type="spellEnd"/>
      <w:r w:rsidRPr="003744D0">
        <w:rPr>
          <w:rFonts w:ascii="Arial" w:eastAsia="Arial" w:hAnsi="Arial" w:cs="Arial"/>
        </w:rPr>
        <w:t xml:space="preserve"> de GABA (Sigma-Aldrich®, </w:t>
      </w:r>
      <w:proofErr w:type="spellStart"/>
      <w:r w:rsidRPr="003744D0">
        <w:rPr>
          <w:rFonts w:ascii="Arial" w:eastAsia="Arial" w:hAnsi="Arial" w:cs="Arial"/>
        </w:rPr>
        <w:t>St</w:t>
      </w:r>
      <w:proofErr w:type="spellEnd"/>
      <w:r w:rsidRPr="003744D0">
        <w:rPr>
          <w:rFonts w:ascii="Arial" w:eastAsia="Arial" w:hAnsi="Arial" w:cs="Arial"/>
        </w:rPr>
        <w:t xml:space="preserve"> </w:t>
      </w:r>
      <w:proofErr w:type="spellStart"/>
      <w:r w:rsidRPr="003744D0">
        <w:rPr>
          <w:rFonts w:ascii="Arial" w:eastAsia="Arial" w:hAnsi="Arial" w:cs="Arial"/>
        </w:rPr>
        <w:t>Lois</w:t>
      </w:r>
      <w:proofErr w:type="spellEnd"/>
      <w:r w:rsidRPr="003744D0">
        <w:rPr>
          <w:rFonts w:ascii="Arial" w:eastAsia="Arial" w:hAnsi="Arial" w:cs="Arial"/>
        </w:rPr>
        <w:t xml:space="preserve">, MO U.S.A) en la corteza </w:t>
      </w:r>
      <w:proofErr w:type="spellStart"/>
      <w:r w:rsidRPr="003744D0">
        <w:rPr>
          <w:rFonts w:ascii="Arial" w:eastAsia="Arial" w:hAnsi="Arial" w:cs="Arial"/>
        </w:rPr>
        <w:t>somatomotora</w:t>
      </w:r>
      <w:proofErr w:type="spellEnd"/>
      <w:r w:rsidRPr="003744D0">
        <w:rPr>
          <w:rFonts w:ascii="Arial" w:eastAsia="Arial" w:hAnsi="Arial" w:cs="Arial"/>
        </w:rPr>
        <w:t xml:space="preserve"> derecha, </w:t>
      </w:r>
      <w:r>
        <w:rPr>
          <w:rFonts w:ascii="Arial" w:eastAsia="Arial" w:hAnsi="Arial" w:cs="Arial"/>
        </w:rPr>
        <w:t xml:space="preserve">y en él área CA1 del hipocampo </w:t>
      </w:r>
      <w:r w:rsidRPr="003744D0">
        <w:rPr>
          <w:rFonts w:ascii="Arial" w:eastAsia="Arial" w:hAnsi="Arial" w:cs="Arial"/>
        </w:rPr>
        <w:t>se utilizó una dosis de 5</w:t>
      </w:r>
      <w:r>
        <w:rPr>
          <w:rFonts w:ascii="Arial" w:eastAsia="Arial" w:hAnsi="Arial" w:cs="Arial"/>
        </w:rPr>
        <w:t xml:space="preserve"> </w:t>
      </w:r>
      <w:proofErr w:type="spellStart"/>
      <w:r w:rsidRPr="003744D0">
        <w:rPr>
          <w:rFonts w:ascii="Arial" w:eastAsia="Arial" w:hAnsi="Arial" w:cs="Arial"/>
        </w:rPr>
        <w:t>mM</w:t>
      </w:r>
      <w:proofErr w:type="spellEnd"/>
      <w:r w:rsidRPr="003744D0">
        <w:rPr>
          <w:rFonts w:ascii="Arial" w:eastAsia="Arial" w:hAnsi="Arial" w:cs="Arial"/>
        </w:rPr>
        <w:t>; 6</w:t>
      </w:r>
      <w:r>
        <w:rPr>
          <w:rFonts w:ascii="Arial" w:eastAsia="Arial" w:hAnsi="Arial" w:cs="Arial"/>
        </w:rPr>
        <w:t xml:space="preserve"> </w:t>
      </w:r>
      <w:proofErr w:type="spellStart"/>
      <w:r w:rsidRPr="003744D0">
        <w:rPr>
          <w:rFonts w:ascii="Arial" w:eastAsia="Arial" w:hAnsi="Arial" w:cs="Arial"/>
        </w:rPr>
        <w:t>μl</w:t>
      </w:r>
      <w:proofErr w:type="spellEnd"/>
      <w:r w:rsidRPr="003744D0">
        <w:rPr>
          <w:rFonts w:ascii="Arial" w:eastAsia="Arial" w:hAnsi="Arial" w:cs="Arial"/>
        </w:rPr>
        <w:t>/2h de GABA.</w:t>
      </w:r>
    </w:p>
    <w:p w:rsidR="00634BC9" w:rsidRPr="003744D0" w:rsidRDefault="00634BC9" w:rsidP="00215EAE">
      <w:pPr>
        <w:widowControl w:val="0"/>
        <w:ind w:left="-284" w:firstLine="284"/>
        <w:rPr>
          <w:rFonts w:ascii="Arial" w:hAnsi="Arial" w:cs="Arial"/>
          <w:b/>
        </w:rPr>
      </w:pPr>
      <w:r w:rsidRPr="003744D0">
        <w:rPr>
          <w:rFonts w:ascii="Arial" w:hAnsi="Arial" w:cs="Arial"/>
          <w:b/>
        </w:rPr>
        <w:lastRenderedPageBreak/>
        <w:t>Procedimientos</w:t>
      </w:r>
    </w:p>
    <w:p w:rsidR="00634BC9" w:rsidRPr="003744D0" w:rsidRDefault="00634BC9" w:rsidP="00C04C60">
      <w:pPr>
        <w:widowControl w:val="0"/>
        <w:ind w:left="-284" w:firstLine="284"/>
        <w:rPr>
          <w:rFonts w:ascii="Arial" w:hAnsi="Arial" w:cs="Arial"/>
        </w:rPr>
      </w:pPr>
      <w:r w:rsidRPr="003744D0">
        <w:rPr>
          <w:rFonts w:ascii="Arial" w:hAnsi="Arial" w:cs="Arial"/>
          <w:b/>
        </w:rPr>
        <w:t>Cirugía Estereotáxica</w:t>
      </w:r>
    </w:p>
    <w:p w:rsidR="00634BC9" w:rsidRPr="003744D0" w:rsidRDefault="00634BC9" w:rsidP="00C04C60">
      <w:pPr>
        <w:widowControl w:val="0"/>
        <w:ind w:left="-284" w:firstLine="992"/>
        <w:jc w:val="both"/>
        <w:rPr>
          <w:rFonts w:ascii="Arial" w:hAnsi="Arial" w:cs="Arial"/>
        </w:rPr>
      </w:pPr>
      <w:r w:rsidRPr="003744D0">
        <w:rPr>
          <w:rFonts w:ascii="Arial" w:hAnsi="Arial" w:cs="Arial"/>
        </w:rPr>
        <w:t xml:space="preserve">Para la implantación del complejo cánula/electrodo conector se anestesió a los animales con </w:t>
      </w:r>
      <w:proofErr w:type="spellStart"/>
      <w:r w:rsidRPr="003744D0">
        <w:rPr>
          <w:rFonts w:ascii="Arial" w:hAnsi="Arial" w:cs="Arial"/>
        </w:rPr>
        <w:t>pentobarbital</w:t>
      </w:r>
      <w:proofErr w:type="spellEnd"/>
      <w:r w:rsidRPr="003744D0">
        <w:rPr>
          <w:rFonts w:ascii="Arial" w:hAnsi="Arial" w:cs="Arial"/>
        </w:rPr>
        <w:t xml:space="preserve"> sódico (30 mg/Kg, </w:t>
      </w:r>
      <w:proofErr w:type="spellStart"/>
      <w:r w:rsidRPr="003744D0">
        <w:rPr>
          <w:rFonts w:ascii="Arial" w:hAnsi="Arial" w:cs="Arial"/>
        </w:rPr>
        <w:t>i.p</w:t>
      </w:r>
      <w:proofErr w:type="spellEnd"/>
      <w:r w:rsidRPr="003744D0">
        <w:rPr>
          <w:rFonts w:ascii="Arial" w:hAnsi="Arial" w:cs="Arial"/>
        </w:rPr>
        <w:t>.). Se aplicó lidocaína (0.1</w:t>
      </w:r>
      <w:r>
        <w:rPr>
          <w:rFonts w:ascii="Arial" w:hAnsi="Arial" w:cs="Arial"/>
        </w:rPr>
        <w:t xml:space="preserve"> </w:t>
      </w:r>
      <w:r w:rsidRPr="003744D0">
        <w:rPr>
          <w:rFonts w:ascii="Arial" w:hAnsi="Arial" w:cs="Arial"/>
        </w:rPr>
        <w:t xml:space="preserve">ml) en cada conducto auditivo y se colocó a la rata en un sistema </w:t>
      </w:r>
      <w:proofErr w:type="spellStart"/>
      <w:r w:rsidRPr="003744D0">
        <w:rPr>
          <w:rFonts w:ascii="Arial" w:hAnsi="Arial" w:cs="Arial"/>
        </w:rPr>
        <w:t>estereotáxico</w:t>
      </w:r>
      <w:proofErr w:type="spellEnd"/>
      <w:r w:rsidRPr="003744D0">
        <w:rPr>
          <w:rFonts w:ascii="Arial" w:hAnsi="Arial" w:cs="Arial"/>
        </w:rPr>
        <w:t xml:space="preserve"> de una torre (</w:t>
      </w:r>
      <w:proofErr w:type="spellStart"/>
      <w:r w:rsidRPr="003744D0">
        <w:rPr>
          <w:rFonts w:ascii="Arial" w:hAnsi="Arial" w:cs="Arial"/>
        </w:rPr>
        <w:t>Neuroscience</w:t>
      </w:r>
      <w:proofErr w:type="spellEnd"/>
      <w:r w:rsidRPr="003744D0">
        <w:rPr>
          <w:rFonts w:ascii="Arial" w:hAnsi="Arial" w:cs="Arial"/>
        </w:rPr>
        <w:t xml:space="preserve"> </w:t>
      </w:r>
      <w:proofErr w:type="spellStart"/>
      <w:r w:rsidRPr="003744D0">
        <w:rPr>
          <w:rFonts w:ascii="Arial" w:hAnsi="Arial" w:cs="Arial"/>
        </w:rPr>
        <w:t>Physiology</w:t>
      </w:r>
      <w:proofErr w:type="spellEnd"/>
      <w:r w:rsidRPr="003744D0">
        <w:rPr>
          <w:rFonts w:ascii="Arial" w:hAnsi="Arial" w:cs="Arial"/>
        </w:rPr>
        <w:t xml:space="preserve"> Research </w:t>
      </w:r>
      <w:proofErr w:type="spellStart"/>
      <w:r w:rsidRPr="003744D0">
        <w:rPr>
          <w:rFonts w:ascii="Arial" w:hAnsi="Arial" w:cs="Arial"/>
        </w:rPr>
        <w:t>Equipment</w:t>
      </w:r>
      <w:proofErr w:type="spellEnd"/>
      <w:r w:rsidRPr="003744D0">
        <w:rPr>
          <w:rFonts w:ascii="Arial" w:hAnsi="Arial" w:cs="Arial"/>
        </w:rPr>
        <w:t xml:space="preserve"> </w:t>
      </w:r>
      <w:proofErr w:type="spellStart"/>
      <w:r w:rsidRPr="003744D0">
        <w:rPr>
          <w:rFonts w:ascii="Arial" w:hAnsi="Arial" w:cs="Arial"/>
        </w:rPr>
        <w:t>Stoelting</w:t>
      </w:r>
      <w:proofErr w:type="spellEnd"/>
      <w:r w:rsidRPr="003744D0">
        <w:rPr>
          <w:rFonts w:ascii="Arial" w:hAnsi="Arial" w:cs="Arial"/>
        </w:rPr>
        <w:t xml:space="preserve"> modelo </w:t>
      </w:r>
      <w:proofErr w:type="spellStart"/>
      <w:r w:rsidRPr="003744D0">
        <w:rPr>
          <w:rFonts w:ascii="Arial" w:hAnsi="Arial" w:cs="Arial"/>
        </w:rPr>
        <w:t>Lab</w:t>
      </w:r>
      <w:proofErr w:type="spellEnd"/>
      <w:r w:rsidRPr="003744D0">
        <w:rPr>
          <w:rFonts w:ascii="Arial" w:hAnsi="Arial" w:cs="Arial"/>
        </w:rPr>
        <w:t xml:space="preserve">. Standard®), después se esterilizó la zona con </w:t>
      </w:r>
      <w:proofErr w:type="spellStart"/>
      <w:r w:rsidRPr="003744D0">
        <w:rPr>
          <w:rFonts w:ascii="Arial" w:hAnsi="Arial" w:cs="Arial"/>
        </w:rPr>
        <w:t>isodine</w:t>
      </w:r>
      <w:proofErr w:type="spellEnd"/>
      <w:r w:rsidRPr="003744D0">
        <w:rPr>
          <w:rFonts w:ascii="Arial" w:hAnsi="Arial" w:cs="Arial"/>
        </w:rPr>
        <w:t xml:space="preserve"> y se inyectó lidocaína (0.6</w:t>
      </w:r>
      <w:r>
        <w:rPr>
          <w:rFonts w:ascii="Arial" w:hAnsi="Arial" w:cs="Arial"/>
        </w:rPr>
        <w:t xml:space="preserve"> </w:t>
      </w:r>
      <w:r w:rsidRPr="003744D0">
        <w:rPr>
          <w:rFonts w:ascii="Arial" w:hAnsi="Arial" w:cs="Arial"/>
        </w:rPr>
        <w:t xml:space="preserve">ml, </w:t>
      </w:r>
      <w:proofErr w:type="spellStart"/>
      <w:r w:rsidRPr="003744D0">
        <w:rPr>
          <w:rFonts w:ascii="Arial" w:hAnsi="Arial" w:cs="Arial"/>
        </w:rPr>
        <w:t>sc</w:t>
      </w:r>
      <w:proofErr w:type="spellEnd"/>
      <w:r w:rsidRPr="003744D0">
        <w:rPr>
          <w:rFonts w:ascii="Arial" w:hAnsi="Arial" w:cs="Arial"/>
        </w:rPr>
        <w:t xml:space="preserve">) en el cuero cabelludo para realizar un corte en la piel. De acuerdo con el atlas de </w:t>
      </w:r>
      <w:proofErr w:type="spellStart"/>
      <w:r w:rsidRPr="003744D0">
        <w:rPr>
          <w:rFonts w:ascii="Arial" w:hAnsi="Arial" w:cs="Arial"/>
        </w:rPr>
        <w:t>Paxinos</w:t>
      </w:r>
      <w:proofErr w:type="spellEnd"/>
      <w:r w:rsidRPr="003744D0">
        <w:rPr>
          <w:rFonts w:ascii="Arial" w:hAnsi="Arial" w:cs="Arial"/>
        </w:rPr>
        <w:t xml:space="preserve"> y Watson (1998) se colocaron dos cánulas (Aguja BD </w:t>
      </w:r>
      <w:proofErr w:type="spellStart"/>
      <w:r w:rsidRPr="003744D0">
        <w:rPr>
          <w:rFonts w:ascii="Arial" w:hAnsi="Arial" w:cs="Arial"/>
        </w:rPr>
        <w:t>Precision</w:t>
      </w:r>
      <w:proofErr w:type="spellEnd"/>
      <w:r w:rsidRPr="003744D0">
        <w:rPr>
          <w:rFonts w:ascii="Arial" w:hAnsi="Arial" w:cs="Arial"/>
        </w:rPr>
        <w:t xml:space="preserve"> </w:t>
      </w:r>
      <w:proofErr w:type="spellStart"/>
      <w:r w:rsidRPr="003744D0">
        <w:rPr>
          <w:rFonts w:ascii="Arial" w:hAnsi="Arial" w:cs="Arial"/>
        </w:rPr>
        <w:t>Needle</w:t>
      </w:r>
      <w:proofErr w:type="spellEnd"/>
      <w:r w:rsidRPr="003744D0">
        <w:rPr>
          <w:rFonts w:ascii="Arial" w:hAnsi="Arial" w:cs="Arial"/>
        </w:rPr>
        <w:t xml:space="preserve">®, 23mm x 25mm) de infusión </w:t>
      </w:r>
      <w:proofErr w:type="spellStart"/>
      <w:r w:rsidRPr="003744D0">
        <w:rPr>
          <w:rFonts w:ascii="Arial" w:hAnsi="Arial" w:cs="Arial"/>
        </w:rPr>
        <w:t>intracortical</w:t>
      </w:r>
      <w:proofErr w:type="spellEnd"/>
      <w:r w:rsidRPr="003744D0">
        <w:rPr>
          <w:rFonts w:ascii="Arial" w:hAnsi="Arial" w:cs="Arial"/>
        </w:rPr>
        <w:t xml:space="preserve"> a 1.5 mm de profundidad, 2</w:t>
      </w:r>
      <w:r>
        <w:rPr>
          <w:rFonts w:ascii="Arial" w:hAnsi="Arial" w:cs="Arial"/>
        </w:rPr>
        <w:t xml:space="preserve"> </w:t>
      </w:r>
      <w:r w:rsidRPr="003744D0">
        <w:rPr>
          <w:rFonts w:ascii="Arial" w:hAnsi="Arial" w:cs="Arial"/>
        </w:rPr>
        <w:t>mm posterior a bregma y a 2.5</w:t>
      </w:r>
      <w:r>
        <w:rPr>
          <w:rFonts w:ascii="Arial" w:hAnsi="Arial" w:cs="Arial"/>
        </w:rPr>
        <w:t xml:space="preserve"> </w:t>
      </w:r>
      <w:r w:rsidRPr="003744D0">
        <w:rPr>
          <w:rFonts w:ascii="Arial" w:hAnsi="Arial" w:cs="Arial"/>
        </w:rPr>
        <w:t xml:space="preserve">mm de la línea media para obtener la señal </w:t>
      </w:r>
      <w:proofErr w:type="spellStart"/>
      <w:r w:rsidRPr="003744D0">
        <w:rPr>
          <w:rFonts w:ascii="Arial" w:hAnsi="Arial" w:cs="Arial"/>
        </w:rPr>
        <w:t>electroencefalográf</w:t>
      </w:r>
      <w:r>
        <w:rPr>
          <w:rFonts w:ascii="Arial" w:hAnsi="Arial" w:cs="Arial"/>
        </w:rPr>
        <w:t>ica</w:t>
      </w:r>
      <w:proofErr w:type="spellEnd"/>
      <w:r>
        <w:rPr>
          <w:rFonts w:ascii="Arial" w:hAnsi="Arial" w:cs="Arial"/>
        </w:rPr>
        <w:t xml:space="preserve"> de la corteza </w:t>
      </w:r>
      <w:proofErr w:type="spellStart"/>
      <w:r>
        <w:rPr>
          <w:rFonts w:ascii="Arial" w:hAnsi="Arial" w:cs="Arial"/>
        </w:rPr>
        <w:t>somatomotora</w:t>
      </w:r>
      <w:proofErr w:type="spellEnd"/>
      <w:r>
        <w:rPr>
          <w:rFonts w:ascii="Arial" w:hAnsi="Arial" w:cs="Arial"/>
        </w:rPr>
        <w:t xml:space="preserve"> derecha. </w:t>
      </w:r>
      <w:r w:rsidRPr="003744D0">
        <w:rPr>
          <w:rFonts w:ascii="Arial" w:hAnsi="Arial" w:cs="Arial"/>
        </w:rPr>
        <w:t xml:space="preserve">Asimismo, se </w:t>
      </w:r>
      <w:r>
        <w:rPr>
          <w:rFonts w:ascii="Arial" w:hAnsi="Arial" w:cs="Arial"/>
        </w:rPr>
        <w:t xml:space="preserve">colocaron </w:t>
      </w:r>
      <w:r w:rsidRPr="003744D0">
        <w:rPr>
          <w:rFonts w:ascii="Arial" w:hAnsi="Arial" w:cs="Arial"/>
        </w:rPr>
        <w:t xml:space="preserve">3 electrodos </w:t>
      </w:r>
      <w:r>
        <w:rPr>
          <w:rFonts w:ascii="Arial" w:hAnsi="Arial" w:cs="Arial"/>
        </w:rPr>
        <w:t xml:space="preserve">de registro </w:t>
      </w:r>
      <w:r w:rsidRPr="003744D0">
        <w:rPr>
          <w:rFonts w:ascii="Arial" w:hAnsi="Arial" w:cs="Arial"/>
        </w:rPr>
        <w:t xml:space="preserve">en el cráneo (tornillos de acero inoxidable soldados a pequeñas terminales de cobre, dos de registro colocados a 4 mm posterior a bregma y uno de referencia sin actividad anterior a bregma) para obtener la señal EEG de la capa superficial de la corteza cerebral. Las cánulas y los tres electrodos se soldaron a un conector mediante un Cautín </w:t>
      </w:r>
      <w:proofErr w:type="spellStart"/>
      <w:r w:rsidRPr="003744D0">
        <w:rPr>
          <w:rFonts w:ascii="Arial" w:hAnsi="Arial" w:cs="Arial"/>
        </w:rPr>
        <w:t>Steren</w:t>
      </w:r>
      <w:proofErr w:type="spellEnd"/>
      <w:r w:rsidRPr="003744D0">
        <w:rPr>
          <w:rFonts w:ascii="Arial" w:hAnsi="Arial" w:cs="Arial"/>
        </w:rPr>
        <w:t>® y Estaño para soldar Omega®; posteriormente se fijaron al cráneo con resina acrílica y monómero (</w:t>
      </w:r>
      <w:proofErr w:type="spellStart"/>
      <w:r w:rsidRPr="003744D0">
        <w:rPr>
          <w:rFonts w:ascii="Arial" w:hAnsi="Arial" w:cs="Arial"/>
        </w:rPr>
        <w:t>Nic</w:t>
      </w:r>
      <w:proofErr w:type="spellEnd"/>
      <w:r w:rsidRPr="003744D0">
        <w:rPr>
          <w:rFonts w:ascii="Arial" w:hAnsi="Arial" w:cs="Arial"/>
        </w:rPr>
        <w:t xml:space="preserve"> </w:t>
      </w:r>
      <w:proofErr w:type="spellStart"/>
      <w:r w:rsidRPr="003744D0">
        <w:rPr>
          <w:rFonts w:ascii="Arial" w:hAnsi="Arial" w:cs="Arial"/>
        </w:rPr>
        <w:t>Tone</w:t>
      </w:r>
      <w:proofErr w:type="spellEnd"/>
      <w:r w:rsidRPr="003744D0">
        <w:rPr>
          <w:rFonts w:ascii="Arial" w:hAnsi="Arial" w:cs="Arial"/>
        </w:rPr>
        <w:t xml:space="preserve"> Cross </w:t>
      </w:r>
      <w:proofErr w:type="spellStart"/>
      <w:r w:rsidRPr="003744D0">
        <w:rPr>
          <w:rFonts w:ascii="Arial" w:hAnsi="Arial" w:cs="Arial"/>
        </w:rPr>
        <w:t>Linked</w:t>
      </w:r>
      <w:proofErr w:type="spellEnd"/>
      <w:r w:rsidRPr="003744D0">
        <w:rPr>
          <w:rFonts w:ascii="Arial" w:hAnsi="Arial" w:cs="Arial"/>
        </w:rPr>
        <w:t xml:space="preserve">®, mdc dental México). Todos los instrumentos de cirugía fueron esterilizados previamente con un Horno esterilizador </w:t>
      </w:r>
      <w:proofErr w:type="spellStart"/>
      <w:r w:rsidRPr="003744D0">
        <w:rPr>
          <w:rFonts w:ascii="Arial" w:hAnsi="Arial" w:cs="Arial"/>
        </w:rPr>
        <w:t>CRAEdental</w:t>
      </w:r>
      <w:proofErr w:type="spellEnd"/>
      <w:r w:rsidRPr="003744D0">
        <w:rPr>
          <w:rFonts w:ascii="Arial" w:hAnsi="Arial" w:cs="Arial"/>
        </w:rPr>
        <w:t>®. Con el fin de asegurar la permeabilidad de las cánulas se les introdujo una “guía removible”. Al término de la cirugía se les administró un antibiótico de forma profiláctica. Los animales permanecieron una semana en reposo antes de cualquier manipulación.</w:t>
      </w:r>
    </w:p>
    <w:p w:rsidR="00634BC9" w:rsidRPr="003744D0" w:rsidRDefault="00634BC9" w:rsidP="00215EAE">
      <w:pPr>
        <w:widowControl w:val="0"/>
        <w:ind w:left="-284" w:firstLine="284"/>
        <w:rPr>
          <w:rFonts w:ascii="Arial" w:hAnsi="Arial" w:cs="Arial"/>
        </w:rPr>
      </w:pPr>
      <w:r w:rsidRPr="003744D0">
        <w:rPr>
          <w:rFonts w:ascii="Arial" w:eastAsia="Arial" w:hAnsi="Arial" w:cs="Arial"/>
          <w:b/>
        </w:rPr>
        <w:t xml:space="preserve">Registro </w:t>
      </w:r>
      <w:proofErr w:type="spellStart"/>
      <w:r w:rsidRPr="003744D0">
        <w:rPr>
          <w:rFonts w:ascii="Arial" w:eastAsia="Arial" w:hAnsi="Arial" w:cs="Arial"/>
          <w:b/>
        </w:rPr>
        <w:t>electroencefalográfica</w:t>
      </w:r>
      <w:proofErr w:type="spellEnd"/>
      <w:r w:rsidRPr="003744D0">
        <w:rPr>
          <w:rFonts w:ascii="Arial" w:eastAsia="Arial" w:hAnsi="Arial" w:cs="Arial"/>
          <w:b/>
        </w:rPr>
        <w:t xml:space="preserve"> (EEG)</w:t>
      </w:r>
    </w:p>
    <w:p w:rsidR="00634BC9" w:rsidRPr="003744D0" w:rsidRDefault="00634BC9" w:rsidP="00C04C60">
      <w:pPr>
        <w:widowControl w:val="0"/>
        <w:ind w:left="-284" w:firstLine="992"/>
        <w:jc w:val="both"/>
        <w:rPr>
          <w:rFonts w:ascii="Arial" w:hAnsi="Arial" w:cs="Arial"/>
        </w:rPr>
      </w:pPr>
      <w:r w:rsidRPr="003744D0">
        <w:rPr>
          <w:rFonts w:ascii="Arial" w:hAnsi="Arial" w:cs="Arial"/>
        </w:rPr>
        <w:t xml:space="preserve">El registro </w:t>
      </w:r>
      <w:r>
        <w:rPr>
          <w:rFonts w:ascii="Arial" w:hAnsi="Arial" w:cs="Arial"/>
        </w:rPr>
        <w:t xml:space="preserve">de la actividad </w:t>
      </w:r>
      <w:proofErr w:type="spellStart"/>
      <w:r>
        <w:rPr>
          <w:rFonts w:ascii="Arial" w:hAnsi="Arial" w:cs="Arial"/>
        </w:rPr>
        <w:t>electroencefalográfica</w:t>
      </w:r>
      <w:proofErr w:type="spellEnd"/>
      <w:r w:rsidRPr="003744D0">
        <w:rPr>
          <w:rFonts w:ascii="Arial" w:hAnsi="Arial" w:cs="Arial"/>
        </w:rPr>
        <w:t xml:space="preserve"> se </w:t>
      </w:r>
      <w:r>
        <w:rPr>
          <w:rFonts w:ascii="Arial" w:hAnsi="Arial" w:cs="Arial"/>
        </w:rPr>
        <w:t xml:space="preserve">realizó </w:t>
      </w:r>
      <w:r w:rsidRPr="003744D0">
        <w:rPr>
          <w:rFonts w:ascii="Arial" w:hAnsi="Arial" w:cs="Arial"/>
        </w:rPr>
        <w:t xml:space="preserve">en un cuarto aislado </w:t>
      </w:r>
      <w:proofErr w:type="spellStart"/>
      <w:r w:rsidRPr="003744D0">
        <w:rPr>
          <w:rFonts w:ascii="Arial" w:hAnsi="Arial" w:cs="Arial"/>
        </w:rPr>
        <w:t>faradizado</w:t>
      </w:r>
      <w:proofErr w:type="spellEnd"/>
      <w:r w:rsidRPr="003744D0">
        <w:rPr>
          <w:rFonts w:ascii="Arial" w:hAnsi="Arial" w:cs="Arial"/>
        </w:rPr>
        <w:t xml:space="preserve">, la señal fue adquirida con un cable de registro (5 terminales </w:t>
      </w:r>
      <w:proofErr w:type="spellStart"/>
      <w:r w:rsidRPr="003744D0">
        <w:rPr>
          <w:rFonts w:ascii="Arial" w:hAnsi="Arial" w:cs="Arial"/>
        </w:rPr>
        <w:t>faradizadas</w:t>
      </w:r>
      <w:proofErr w:type="spellEnd"/>
      <w:r w:rsidRPr="003744D0">
        <w:rPr>
          <w:rFonts w:ascii="Arial" w:hAnsi="Arial" w:cs="Arial"/>
        </w:rPr>
        <w:t>) adaptado a conexión directa con amplificadores (P511 AC</w:t>
      </w:r>
      <w:r>
        <w:rPr>
          <w:rFonts w:ascii="Arial" w:hAnsi="Arial" w:cs="Arial"/>
        </w:rPr>
        <w:t xml:space="preserve"> </w:t>
      </w:r>
      <w:proofErr w:type="spellStart"/>
      <w:r>
        <w:rPr>
          <w:rFonts w:ascii="Arial" w:hAnsi="Arial" w:cs="Arial"/>
        </w:rPr>
        <w:t>amplifier</w:t>
      </w:r>
      <w:proofErr w:type="spellEnd"/>
      <w:r>
        <w:rPr>
          <w:rFonts w:ascii="Arial" w:hAnsi="Arial" w:cs="Arial"/>
        </w:rPr>
        <w:t xml:space="preserve"> GRASS Astro </w:t>
      </w:r>
      <w:proofErr w:type="spellStart"/>
      <w:r>
        <w:rPr>
          <w:rFonts w:ascii="Arial" w:hAnsi="Arial" w:cs="Arial"/>
        </w:rPr>
        <w:t>Med</w:t>
      </w:r>
      <w:proofErr w:type="spellEnd"/>
      <w:r>
        <w:rPr>
          <w:rFonts w:ascii="Arial" w:hAnsi="Arial" w:cs="Arial"/>
        </w:rPr>
        <w:t xml:space="preserve"> In.) </w:t>
      </w:r>
      <w:r w:rsidRPr="00064884">
        <w:rPr>
          <w:rFonts w:ascii="Arial" w:hAnsi="Arial" w:cs="Arial"/>
        </w:rPr>
        <w:t xml:space="preserve">La amplificación fue de 20, con filtros de baja </w:t>
      </w:r>
      <w:r>
        <w:rPr>
          <w:rFonts w:ascii="Arial" w:hAnsi="Arial" w:cs="Arial"/>
        </w:rPr>
        <w:t>(</w:t>
      </w:r>
      <w:r w:rsidRPr="00064884">
        <w:rPr>
          <w:rFonts w:ascii="Arial" w:hAnsi="Arial" w:cs="Arial"/>
        </w:rPr>
        <w:t>3 Hz/1000</w:t>
      </w:r>
      <w:r>
        <w:rPr>
          <w:rFonts w:ascii="Arial" w:hAnsi="Arial" w:cs="Arial"/>
        </w:rPr>
        <w:t>)</w:t>
      </w:r>
      <w:r w:rsidRPr="00064884">
        <w:rPr>
          <w:rFonts w:ascii="Arial" w:hAnsi="Arial" w:cs="Arial"/>
        </w:rPr>
        <w:t xml:space="preserve"> y alta frecuencia </w:t>
      </w:r>
      <w:r>
        <w:rPr>
          <w:rFonts w:ascii="Arial" w:hAnsi="Arial" w:cs="Arial"/>
        </w:rPr>
        <w:t>(</w:t>
      </w:r>
      <w:r w:rsidRPr="00064884">
        <w:rPr>
          <w:rFonts w:ascii="Arial" w:hAnsi="Arial" w:cs="Arial"/>
        </w:rPr>
        <w:t>0.3 KHz</w:t>
      </w:r>
      <w:r>
        <w:rPr>
          <w:rFonts w:ascii="Arial" w:hAnsi="Arial" w:cs="Arial"/>
        </w:rPr>
        <w:t>)</w:t>
      </w:r>
      <w:r w:rsidRPr="00064884">
        <w:rPr>
          <w:rFonts w:ascii="Arial" w:hAnsi="Arial" w:cs="Arial"/>
        </w:rPr>
        <w:t>.</w:t>
      </w:r>
      <w:r w:rsidRPr="003744D0">
        <w:rPr>
          <w:rFonts w:ascii="Arial" w:hAnsi="Arial" w:cs="Arial"/>
        </w:rPr>
        <w:t xml:space="preserve"> Para </w:t>
      </w:r>
      <w:r>
        <w:rPr>
          <w:rFonts w:ascii="Arial" w:hAnsi="Arial" w:cs="Arial"/>
        </w:rPr>
        <w:t xml:space="preserve">la traducción de </w:t>
      </w:r>
      <w:r w:rsidRPr="003744D0">
        <w:rPr>
          <w:rFonts w:ascii="Arial" w:hAnsi="Arial" w:cs="Arial"/>
        </w:rPr>
        <w:t xml:space="preserve"> esta señal se utilizó el software </w:t>
      </w:r>
      <w:proofErr w:type="spellStart"/>
      <w:r w:rsidRPr="003744D0">
        <w:rPr>
          <w:rFonts w:ascii="Arial" w:hAnsi="Arial" w:cs="Arial"/>
        </w:rPr>
        <w:t>Poliview</w:t>
      </w:r>
      <w:proofErr w:type="spellEnd"/>
      <w:r w:rsidRPr="003744D0">
        <w:rPr>
          <w:rFonts w:ascii="Arial" w:hAnsi="Arial" w:cs="Arial"/>
        </w:rPr>
        <w:t xml:space="preserve"> 8 (</w:t>
      </w:r>
      <w:proofErr w:type="spellStart"/>
      <w:r w:rsidRPr="003744D0">
        <w:rPr>
          <w:rFonts w:ascii="Arial" w:hAnsi="Arial" w:cs="Arial"/>
        </w:rPr>
        <w:t>National</w:t>
      </w:r>
      <w:proofErr w:type="spellEnd"/>
      <w:r w:rsidRPr="003744D0">
        <w:rPr>
          <w:rFonts w:ascii="Arial" w:hAnsi="Arial" w:cs="Arial"/>
        </w:rPr>
        <w:t xml:space="preserve"> Instruments). Los registros tuvieron una duración de</w:t>
      </w:r>
      <w:r>
        <w:rPr>
          <w:rFonts w:ascii="Arial" w:hAnsi="Arial" w:cs="Arial"/>
        </w:rPr>
        <w:t xml:space="preserve"> dos</w:t>
      </w:r>
      <w:r w:rsidRPr="003744D0">
        <w:rPr>
          <w:rFonts w:ascii="Arial" w:hAnsi="Arial" w:cs="Arial"/>
        </w:rPr>
        <w:t xml:space="preserve"> horas en los animales en los que se</w:t>
      </w:r>
      <w:r>
        <w:rPr>
          <w:rFonts w:ascii="Arial" w:hAnsi="Arial" w:cs="Arial"/>
        </w:rPr>
        <w:t xml:space="preserve"> les</w:t>
      </w:r>
      <w:r w:rsidRPr="003744D0">
        <w:rPr>
          <w:rFonts w:ascii="Arial" w:hAnsi="Arial" w:cs="Arial"/>
        </w:rPr>
        <w:t xml:space="preserve"> indujo la abstinencia Los registros control así como los seguimientos tuvieron una duración de 30 min. Los datos electrofisiológicos se analizaron con el Software Adq4ch mediante el uso de filtros digitales de 0-40 Hz y eliminación de saturación. </w:t>
      </w:r>
      <w:r>
        <w:rPr>
          <w:rFonts w:ascii="Arial" w:hAnsi="Arial" w:cs="Arial"/>
        </w:rPr>
        <w:t xml:space="preserve">Se obtuvo el valor de la potencia total del </w:t>
      </w:r>
      <w:r>
        <w:rPr>
          <w:rFonts w:ascii="Arial" w:hAnsi="Arial" w:cs="Arial"/>
        </w:rPr>
        <w:lastRenderedPageBreak/>
        <w:t>EEG (µV</w:t>
      </w:r>
      <w:r>
        <w:rPr>
          <w:rFonts w:ascii="Arial" w:hAnsi="Arial" w:cs="Arial"/>
          <w:vertAlign w:val="superscript"/>
        </w:rPr>
        <w:t>2</w:t>
      </w:r>
      <w:r>
        <w:rPr>
          <w:rFonts w:ascii="Arial" w:hAnsi="Arial" w:cs="Arial"/>
        </w:rPr>
        <w:t>/Hz) en la banda de frecuencia de 4-20 Hz a partir del espectro de frecuencia de Wavelets.</w:t>
      </w:r>
    </w:p>
    <w:p w:rsidR="00634BC9" w:rsidRPr="003744D0" w:rsidRDefault="00634BC9" w:rsidP="00C04C60">
      <w:pPr>
        <w:widowControl w:val="0"/>
        <w:ind w:left="-284" w:firstLine="992"/>
        <w:jc w:val="both"/>
        <w:rPr>
          <w:rFonts w:ascii="Arial" w:hAnsi="Arial" w:cs="Arial"/>
        </w:rPr>
      </w:pPr>
      <w:r>
        <w:rPr>
          <w:rFonts w:ascii="Arial" w:hAnsi="Arial" w:cs="Arial"/>
        </w:rPr>
        <w:t xml:space="preserve">El conteo de espigas se realizó mediante la identificación de las primeras 10 espigas representativas después del inicio del SAG. Posteriormente se promediaron los valores obtenidos para establecer un nivel de disparo a partir del cual se cuantificó el número de complejos espiga-onda. </w:t>
      </w:r>
    </w:p>
    <w:p w:rsidR="00634BC9" w:rsidRPr="003744D0" w:rsidRDefault="00634BC9" w:rsidP="00215EAE">
      <w:pPr>
        <w:widowControl w:val="0"/>
        <w:ind w:left="-284" w:firstLine="284"/>
        <w:rPr>
          <w:rFonts w:ascii="Arial" w:hAnsi="Arial" w:cs="Arial"/>
        </w:rPr>
      </w:pPr>
      <w:r w:rsidRPr="003744D0">
        <w:rPr>
          <w:rFonts w:ascii="Arial" w:hAnsi="Arial" w:cs="Arial"/>
          <w:b/>
        </w:rPr>
        <w:t>Inducción del Síndrome de Abstinencia a GABA</w:t>
      </w:r>
      <w:r>
        <w:rPr>
          <w:rFonts w:ascii="Arial" w:hAnsi="Arial" w:cs="Arial"/>
          <w:b/>
        </w:rPr>
        <w:t xml:space="preserve"> (SAG)</w:t>
      </w:r>
    </w:p>
    <w:p w:rsidR="00634BC9" w:rsidRPr="00EB6020" w:rsidRDefault="00634BC9" w:rsidP="00C04C60">
      <w:pPr>
        <w:widowControl w:val="0"/>
        <w:ind w:left="-284" w:firstLine="992"/>
        <w:jc w:val="both"/>
        <w:rPr>
          <w:rFonts w:ascii="Arial" w:eastAsia="Arial" w:hAnsi="Arial" w:cs="Arial"/>
        </w:rPr>
      </w:pPr>
      <w:r w:rsidRPr="003744D0">
        <w:rPr>
          <w:rFonts w:ascii="Arial" w:eastAsia="Arial" w:hAnsi="Arial" w:cs="Arial"/>
        </w:rPr>
        <w:t>Para</w:t>
      </w:r>
      <w:r>
        <w:rPr>
          <w:rFonts w:ascii="Arial" w:eastAsia="Arial" w:hAnsi="Arial" w:cs="Arial"/>
        </w:rPr>
        <w:t xml:space="preserve"> la inducción de</w:t>
      </w:r>
      <w:r w:rsidRPr="003744D0">
        <w:rPr>
          <w:rFonts w:ascii="Arial" w:eastAsia="Arial" w:hAnsi="Arial" w:cs="Arial"/>
        </w:rPr>
        <w:t xml:space="preserve"> la abstinencia a GABA se realizó la instilación </w:t>
      </w:r>
      <w:proofErr w:type="spellStart"/>
      <w:r w:rsidRPr="003744D0">
        <w:rPr>
          <w:rFonts w:ascii="Arial" w:eastAsia="Arial" w:hAnsi="Arial" w:cs="Arial"/>
        </w:rPr>
        <w:t>intracortical</w:t>
      </w:r>
      <w:proofErr w:type="spellEnd"/>
      <w:r w:rsidRPr="003744D0">
        <w:rPr>
          <w:rFonts w:ascii="Arial" w:eastAsia="Arial" w:hAnsi="Arial" w:cs="Arial"/>
        </w:rPr>
        <w:t xml:space="preserve"> </w:t>
      </w:r>
      <w:r>
        <w:rPr>
          <w:rFonts w:ascii="Arial" w:eastAsia="Arial" w:hAnsi="Arial" w:cs="Arial"/>
        </w:rPr>
        <w:t xml:space="preserve"> </w:t>
      </w:r>
      <w:r w:rsidRPr="003744D0">
        <w:rPr>
          <w:rFonts w:ascii="Arial" w:eastAsia="Arial" w:hAnsi="Arial" w:cs="Arial"/>
        </w:rPr>
        <w:t xml:space="preserve">de GABA (5mM) en la corteza </w:t>
      </w:r>
      <w:proofErr w:type="spellStart"/>
      <w:r w:rsidRPr="003744D0">
        <w:rPr>
          <w:rFonts w:ascii="Arial" w:eastAsia="Arial" w:hAnsi="Arial" w:cs="Arial"/>
        </w:rPr>
        <w:t>somatomotora</w:t>
      </w:r>
      <w:proofErr w:type="spellEnd"/>
      <w:r w:rsidRPr="003744D0">
        <w:rPr>
          <w:rFonts w:ascii="Arial" w:eastAsia="Arial" w:hAnsi="Arial" w:cs="Arial"/>
        </w:rPr>
        <w:t xml:space="preserve"> derecha</w:t>
      </w:r>
      <w:r>
        <w:rPr>
          <w:rFonts w:ascii="Arial" w:eastAsia="Arial" w:hAnsi="Arial" w:cs="Arial"/>
        </w:rPr>
        <w:t xml:space="preserve"> </w:t>
      </w:r>
      <w:r w:rsidRPr="003744D0">
        <w:rPr>
          <w:rFonts w:ascii="Arial" w:eastAsia="Arial" w:hAnsi="Arial" w:cs="Arial"/>
        </w:rPr>
        <w:t>una bomba de instilación programable (</w:t>
      </w:r>
      <w:proofErr w:type="spellStart"/>
      <w:r w:rsidRPr="003744D0">
        <w:rPr>
          <w:rFonts w:ascii="Arial" w:eastAsia="Arial" w:hAnsi="Arial" w:cs="Arial"/>
        </w:rPr>
        <w:t>Kd</w:t>
      </w:r>
      <w:proofErr w:type="spellEnd"/>
      <w:r w:rsidRPr="003744D0">
        <w:rPr>
          <w:rFonts w:ascii="Arial" w:eastAsia="Arial" w:hAnsi="Arial" w:cs="Arial"/>
        </w:rPr>
        <w:t xml:space="preserve"> </w:t>
      </w:r>
      <w:proofErr w:type="spellStart"/>
      <w:r w:rsidRPr="003744D0">
        <w:rPr>
          <w:rFonts w:ascii="Arial" w:eastAsia="Arial" w:hAnsi="Arial" w:cs="Arial"/>
        </w:rPr>
        <w:t>Scientific</w:t>
      </w:r>
      <w:proofErr w:type="spellEnd"/>
      <w:r w:rsidRPr="003744D0">
        <w:rPr>
          <w:rFonts w:ascii="Arial" w:eastAsia="Arial" w:hAnsi="Arial" w:cs="Arial"/>
        </w:rPr>
        <w:t xml:space="preserve">®), una </w:t>
      </w:r>
      <w:proofErr w:type="spellStart"/>
      <w:r w:rsidRPr="003744D0">
        <w:rPr>
          <w:rFonts w:ascii="Arial" w:eastAsia="Arial" w:hAnsi="Arial" w:cs="Arial"/>
        </w:rPr>
        <w:t>microjeringa</w:t>
      </w:r>
      <w:proofErr w:type="spellEnd"/>
      <w:r w:rsidRPr="003744D0">
        <w:rPr>
          <w:rFonts w:ascii="Arial" w:eastAsia="Arial" w:hAnsi="Arial" w:cs="Arial"/>
        </w:rPr>
        <w:t xml:space="preserve"> (Hamilton Co. Reno) y una manguera de instilación. Se instiló a una velocidad de 3</w:t>
      </w:r>
      <w:r>
        <w:rPr>
          <w:rFonts w:ascii="Arial" w:eastAsia="Arial" w:hAnsi="Arial" w:cs="Arial"/>
        </w:rPr>
        <w:t xml:space="preserve"> </w:t>
      </w:r>
      <w:r w:rsidRPr="003744D0">
        <w:rPr>
          <w:rFonts w:ascii="Arial" w:eastAsia="Arial" w:hAnsi="Arial" w:cs="Arial"/>
        </w:rPr>
        <w:t>µl por hora, durante 2</w:t>
      </w:r>
      <w:r>
        <w:rPr>
          <w:rFonts w:ascii="Arial" w:eastAsia="Arial" w:hAnsi="Arial" w:cs="Arial"/>
        </w:rPr>
        <w:t xml:space="preserve"> </w:t>
      </w:r>
      <w:r w:rsidRPr="003744D0">
        <w:rPr>
          <w:rFonts w:ascii="Arial" w:eastAsia="Arial" w:hAnsi="Arial" w:cs="Arial"/>
        </w:rPr>
        <w:t xml:space="preserve">h. Inmediatamente después de la interrupción de la instilación se registró la actividad </w:t>
      </w:r>
      <w:proofErr w:type="spellStart"/>
      <w:r w:rsidRPr="003744D0">
        <w:rPr>
          <w:rFonts w:ascii="Arial" w:eastAsia="Arial" w:hAnsi="Arial" w:cs="Arial"/>
        </w:rPr>
        <w:t>electroencefalográfica</w:t>
      </w:r>
      <w:proofErr w:type="spellEnd"/>
      <w:r w:rsidRPr="003744D0">
        <w:rPr>
          <w:rFonts w:ascii="Arial" w:eastAsia="Arial" w:hAnsi="Arial" w:cs="Arial"/>
        </w:rPr>
        <w:t xml:space="preserve"> para evaluar los cambios en la excitabilidad neuronal dur</w:t>
      </w:r>
      <w:r w:rsidRPr="00EB6020">
        <w:rPr>
          <w:rFonts w:ascii="Arial" w:eastAsia="Arial" w:hAnsi="Arial" w:cs="Arial"/>
        </w:rPr>
        <w:t>ante 2 h.</w:t>
      </w:r>
    </w:p>
    <w:p w:rsidR="00634BC9" w:rsidRPr="003744D0" w:rsidRDefault="00634BC9" w:rsidP="00C04C60">
      <w:pPr>
        <w:widowControl w:val="0"/>
        <w:ind w:left="-284" w:firstLine="992"/>
        <w:jc w:val="both"/>
        <w:rPr>
          <w:rFonts w:ascii="Arial" w:hAnsi="Arial" w:cs="Arial"/>
        </w:rPr>
      </w:pPr>
      <w:r w:rsidRPr="00EB6020">
        <w:rPr>
          <w:rFonts w:ascii="Arial" w:eastAsia="Arial" w:hAnsi="Arial" w:cs="Arial"/>
        </w:rPr>
        <w:t xml:space="preserve"> Posterior se administró </w:t>
      </w:r>
      <w:r w:rsidR="00EB6020">
        <w:rPr>
          <w:rFonts w:ascii="Arial" w:hAnsi="Arial" w:cs="Arial"/>
          <w:bCs/>
          <w:sz w:val="24"/>
          <w:szCs w:val="24"/>
        </w:rPr>
        <w:t>Di</w:t>
      </w:r>
      <w:r w:rsidRPr="00EB6020">
        <w:rPr>
          <w:rFonts w:ascii="Arial" w:hAnsi="Arial" w:cs="Arial"/>
          <w:bCs/>
          <w:sz w:val="24"/>
          <w:szCs w:val="24"/>
        </w:rPr>
        <w:t>CF3</w:t>
      </w:r>
      <w:r w:rsidRPr="00634BC9">
        <w:rPr>
          <w:rFonts w:ascii="Arial" w:hAnsi="Arial" w:cs="Arial"/>
          <w:b/>
          <w:bCs/>
          <w:sz w:val="24"/>
          <w:szCs w:val="24"/>
        </w:rPr>
        <w:t>-</w:t>
      </w:r>
      <w:r w:rsidRPr="00634BC9">
        <w:rPr>
          <w:rFonts w:ascii="Arial" w:hAnsi="Arial" w:cs="Arial"/>
          <w:sz w:val="24"/>
          <w:szCs w:val="24"/>
        </w:rPr>
        <w:t>HEPA</w:t>
      </w:r>
      <w:r w:rsidRPr="003744D0">
        <w:rPr>
          <w:rFonts w:ascii="Arial" w:eastAsia="Arial" w:hAnsi="Arial" w:cs="Arial"/>
        </w:rPr>
        <w:t xml:space="preserve"> </w:t>
      </w:r>
      <w:r>
        <w:rPr>
          <w:rFonts w:ascii="Arial" w:eastAsia="Arial" w:hAnsi="Arial" w:cs="Arial"/>
        </w:rPr>
        <w:t xml:space="preserve"> (10 mg/Kg </w:t>
      </w:r>
      <w:proofErr w:type="spellStart"/>
      <w:r>
        <w:rPr>
          <w:rFonts w:ascii="Arial" w:eastAsia="Arial" w:hAnsi="Arial" w:cs="Arial"/>
        </w:rPr>
        <w:t>i.p</w:t>
      </w:r>
      <w:proofErr w:type="spellEnd"/>
      <w:r w:rsidR="00D42705">
        <w:rPr>
          <w:rFonts w:ascii="Arial" w:eastAsia="Arial" w:hAnsi="Arial" w:cs="Arial"/>
        </w:rPr>
        <w:t>.</w:t>
      </w:r>
      <w:r w:rsidRPr="003744D0">
        <w:rPr>
          <w:rFonts w:ascii="Arial" w:eastAsia="Arial" w:hAnsi="Arial" w:cs="Arial"/>
        </w:rPr>
        <w:t>) con la finalidad de disminuir la hiperexcitabilidad neuronal que caracteriza al SAG.</w:t>
      </w:r>
      <w:r w:rsidR="00B10458">
        <w:rPr>
          <w:rFonts w:ascii="Arial" w:eastAsia="Arial" w:hAnsi="Arial" w:cs="Arial"/>
        </w:rPr>
        <w:t xml:space="preserve"> Se realizo un seguimiento de 7 días para la cuantificación de la duración de la abstinencia. </w:t>
      </w:r>
    </w:p>
    <w:p w:rsidR="00634BC9" w:rsidRDefault="00634BC9" w:rsidP="00215EAE">
      <w:pPr>
        <w:widowControl w:val="0"/>
        <w:ind w:left="-284" w:firstLine="284"/>
        <w:rPr>
          <w:rFonts w:ascii="Arial" w:eastAsia="Arial" w:hAnsi="Arial" w:cs="Arial"/>
          <w:b/>
        </w:rPr>
      </w:pPr>
      <w:r w:rsidRPr="003744D0">
        <w:rPr>
          <w:rFonts w:ascii="Arial" w:eastAsia="Arial" w:hAnsi="Arial" w:cs="Arial"/>
          <w:b/>
        </w:rPr>
        <w:t>Prueba del Laberinto elevado en cruz (LEC)</w:t>
      </w:r>
    </w:p>
    <w:p w:rsidR="00634BC9" w:rsidRDefault="00634BC9" w:rsidP="00C04C60">
      <w:pPr>
        <w:widowControl w:val="0"/>
        <w:ind w:left="-284" w:firstLine="992"/>
        <w:jc w:val="both"/>
        <w:rPr>
          <w:rFonts w:ascii="Arial" w:hAnsi="Arial" w:cs="Arial"/>
        </w:rPr>
      </w:pPr>
      <w:r>
        <w:rPr>
          <w:rFonts w:ascii="Arial" w:eastAsia="Arial" w:hAnsi="Arial" w:cs="Arial"/>
        </w:rPr>
        <w:t xml:space="preserve">Para la cuantificación de la ansiedad se utilizó el laberinto elevado en cruz, el cual es </w:t>
      </w:r>
      <w:r w:rsidRPr="003744D0">
        <w:rPr>
          <w:rFonts w:ascii="Arial" w:hAnsi="Arial" w:cs="Arial"/>
        </w:rPr>
        <w:t>una estructura de madera en forma de cruz, elevada a 50 cm del piso con 4 brazos: un par con paredes de 40 cm de alto denominados brazos cerrados (BC) de 50 x 10 cm cada uno y otro par con las mismas dimensiones llamados brazos abiertos (BA). Los cuatro brazos se encuentran unidos por un cuadro central de 10 x 10 cm. El cuarto donde se realiza la prueba debe estar iluminado con luz roja (40W).</w:t>
      </w:r>
    </w:p>
    <w:p w:rsidR="00634BC9" w:rsidRPr="003744D0" w:rsidRDefault="00634BC9" w:rsidP="00C04C60">
      <w:pPr>
        <w:widowControl w:val="0"/>
        <w:ind w:left="-284" w:firstLine="992"/>
        <w:jc w:val="both"/>
        <w:rPr>
          <w:rFonts w:ascii="Arial" w:hAnsi="Arial" w:cs="Arial"/>
        </w:rPr>
      </w:pPr>
      <w:r>
        <w:rPr>
          <w:rFonts w:ascii="Arial" w:hAnsi="Arial" w:cs="Arial"/>
        </w:rPr>
        <w:t>Para la evaluación de la ansiedad s</w:t>
      </w:r>
      <w:r w:rsidRPr="003744D0">
        <w:rPr>
          <w:rFonts w:ascii="Arial" w:hAnsi="Arial" w:cs="Arial"/>
        </w:rPr>
        <w:t>e colocó a la rata en el centro del LEC con la cabeza hacia uno de los BA y se le dejó explorar libremente el LEC durante 5 min. Se evaluó: 1) el número de entradas a BA y BC; así como 2) el porcentaje de tiempo en cada uno de los brazos. El criterio para considerar una entrada es que la rata cruce con las cuatro patas hacia el interior de los mismos.</w:t>
      </w:r>
    </w:p>
    <w:p w:rsidR="00634BC9" w:rsidRDefault="00634BC9" w:rsidP="00C04C60">
      <w:pPr>
        <w:widowControl w:val="0"/>
        <w:ind w:left="-284" w:firstLine="992"/>
        <w:jc w:val="both"/>
        <w:rPr>
          <w:rFonts w:ascii="Arial" w:eastAsia="Arial" w:hAnsi="Arial" w:cs="Arial"/>
        </w:rPr>
      </w:pPr>
      <w:r w:rsidRPr="003744D0">
        <w:rPr>
          <w:rFonts w:ascii="Arial" w:eastAsia="Arial" w:hAnsi="Arial" w:cs="Arial"/>
        </w:rPr>
        <w:t xml:space="preserve">En este paradigma un incremento en el tiempo de permanencia y el número de entradas a BC es interpretado como la respuesta </w:t>
      </w:r>
      <w:proofErr w:type="spellStart"/>
      <w:r w:rsidRPr="003744D0">
        <w:rPr>
          <w:rFonts w:ascii="Arial" w:eastAsia="Arial" w:hAnsi="Arial" w:cs="Arial"/>
        </w:rPr>
        <w:t>ansiogénica</w:t>
      </w:r>
      <w:proofErr w:type="spellEnd"/>
      <w:r w:rsidRPr="003744D0">
        <w:rPr>
          <w:rFonts w:ascii="Arial" w:eastAsia="Arial" w:hAnsi="Arial" w:cs="Arial"/>
        </w:rPr>
        <w:t xml:space="preserve">, mientras que el número total </w:t>
      </w:r>
      <w:r w:rsidRPr="003744D0">
        <w:rPr>
          <w:rFonts w:ascii="Arial" w:eastAsia="Arial" w:hAnsi="Arial" w:cs="Arial"/>
        </w:rPr>
        <w:lastRenderedPageBreak/>
        <w:t xml:space="preserve">de entradas a ambos brazos proporciona una medida de la actividad general (Fernández- </w:t>
      </w:r>
      <w:proofErr w:type="spellStart"/>
      <w:r w:rsidRPr="003744D0">
        <w:rPr>
          <w:rFonts w:ascii="Arial" w:eastAsia="Arial" w:hAnsi="Arial" w:cs="Arial"/>
        </w:rPr>
        <w:t>Guasti</w:t>
      </w:r>
      <w:proofErr w:type="spellEnd"/>
      <w:r w:rsidRPr="003744D0">
        <w:rPr>
          <w:rFonts w:ascii="Arial" w:eastAsia="Arial" w:hAnsi="Arial" w:cs="Arial"/>
        </w:rPr>
        <w:t xml:space="preserve"> y P</w:t>
      </w:r>
      <w:r w:rsidR="0071496E">
        <w:rPr>
          <w:rFonts w:ascii="Arial" w:eastAsia="Arial" w:hAnsi="Arial" w:cs="Arial"/>
        </w:rPr>
        <w:t>icazo, 1999</w:t>
      </w:r>
      <w:r w:rsidRPr="003744D0">
        <w:rPr>
          <w:rFonts w:ascii="Arial" w:eastAsia="Arial" w:hAnsi="Arial" w:cs="Arial"/>
        </w:rPr>
        <w:t xml:space="preserve">). La prueba fue registrada mediante el uso de una cámara de video (Sony </w:t>
      </w:r>
      <w:proofErr w:type="spellStart"/>
      <w:r w:rsidRPr="003744D0">
        <w:rPr>
          <w:rFonts w:ascii="Arial" w:eastAsia="Arial" w:hAnsi="Arial" w:cs="Arial"/>
        </w:rPr>
        <w:t>HandycamMod</w:t>
      </w:r>
      <w:proofErr w:type="spellEnd"/>
      <w:r w:rsidRPr="003744D0">
        <w:rPr>
          <w:rFonts w:ascii="Arial" w:eastAsia="Arial" w:hAnsi="Arial" w:cs="Arial"/>
        </w:rPr>
        <w:t xml:space="preserve"> DCR SX40) adaptada a una tarjeta digital de PC para almacenar los videos en una computadora PC (HP/</w:t>
      </w:r>
      <w:proofErr w:type="spellStart"/>
      <w:r w:rsidRPr="003744D0">
        <w:rPr>
          <w:rFonts w:ascii="Arial" w:eastAsia="Arial" w:hAnsi="Arial" w:cs="Arial"/>
        </w:rPr>
        <w:t>compac</w:t>
      </w:r>
      <w:proofErr w:type="spellEnd"/>
      <w:r w:rsidRPr="003744D0">
        <w:rPr>
          <w:rFonts w:ascii="Arial" w:eastAsia="Arial" w:hAnsi="Arial" w:cs="Arial"/>
        </w:rPr>
        <w:t xml:space="preserve"> 6000; software ENLTV).</w:t>
      </w:r>
    </w:p>
    <w:p w:rsidR="00AD70C7" w:rsidRPr="009865CF" w:rsidRDefault="00B10458" w:rsidP="00215EAE">
      <w:pPr>
        <w:ind w:left="-284" w:firstLine="284"/>
        <w:jc w:val="both"/>
        <w:rPr>
          <w:rFonts w:ascii="Arial" w:hAnsi="Arial" w:cs="Arial"/>
          <w:b/>
          <w:sz w:val="24"/>
        </w:rPr>
      </w:pPr>
      <w:r>
        <w:rPr>
          <w:rFonts w:ascii="Arial" w:hAnsi="Arial" w:cs="Arial"/>
          <w:b/>
          <w:noProof/>
          <w:sz w:val="24"/>
          <w:lang w:eastAsia="es-MX"/>
        </w:rPr>
        <w:drawing>
          <wp:anchor distT="0" distB="0" distL="114300" distR="114300" simplePos="0" relativeHeight="251659264" behindDoc="0" locked="0" layoutInCell="1" allowOverlap="1" wp14:anchorId="725B6C7C" wp14:editId="385DBF58">
            <wp:simplePos x="0" y="0"/>
            <wp:positionH relativeFrom="column">
              <wp:posOffset>2786380</wp:posOffset>
            </wp:positionH>
            <wp:positionV relativeFrom="paragraph">
              <wp:posOffset>523875</wp:posOffset>
            </wp:positionV>
            <wp:extent cx="3037205" cy="237744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915" r="12991"/>
                    <a:stretch/>
                  </pic:blipFill>
                  <pic:spPr bwMode="auto">
                    <a:xfrm>
                      <a:off x="0" y="0"/>
                      <a:ext cx="3037205" cy="23774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sz w:val="24"/>
          <w:lang w:eastAsia="es-MX"/>
        </w:rPr>
        <w:drawing>
          <wp:anchor distT="0" distB="0" distL="114300" distR="114300" simplePos="0" relativeHeight="251658240" behindDoc="0" locked="0" layoutInCell="1" allowOverlap="1" wp14:anchorId="7F8254D4" wp14:editId="45FD3C41">
            <wp:simplePos x="0" y="0"/>
            <wp:positionH relativeFrom="column">
              <wp:posOffset>-617220</wp:posOffset>
            </wp:positionH>
            <wp:positionV relativeFrom="paragraph">
              <wp:posOffset>373380</wp:posOffset>
            </wp:positionV>
            <wp:extent cx="3228975" cy="2394585"/>
            <wp:effectExtent l="1905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2915" t="2088" r="13122"/>
                    <a:stretch/>
                  </pic:blipFill>
                  <pic:spPr bwMode="auto">
                    <a:xfrm>
                      <a:off x="0" y="0"/>
                      <a:ext cx="3228975" cy="2394585"/>
                    </a:xfrm>
                    <a:prstGeom prst="rect">
                      <a:avLst/>
                    </a:prstGeom>
                    <a:ln>
                      <a:noFill/>
                    </a:ln>
                    <a:extLst>
                      <a:ext uri="{53640926-AAD7-44D8-BBD7-CCE9431645EC}">
                        <a14:shadowObscured xmlns:a14="http://schemas.microsoft.com/office/drawing/2010/main"/>
                      </a:ext>
                    </a:extLst>
                  </pic:spPr>
                </pic:pic>
              </a:graphicData>
            </a:graphic>
          </wp:anchor>
        </w:drawing>
      </w:r>
      <w:r w:rsidR="00B25546">
        <w:rPr>
          <w:rFonts w:ascii="Arial" w:hAnsi="Arial" w:cs="Arial"/>
          <w:b/>
          <w:sz w:val="24"/>
        </w:rPr>
        <w:t>Resultados</w:t>
      </w:r>
    </w:p>
    <w:p w:rsidR="00873C7A" w:rsidRPr="00AD70C7" w:rsidRDefault="00873C7A" w:rsidP="00215EAE">
      <w:pPr>
        <w:ind w:left="-284" w:firstLine="284"/>
        <w:jc w:val="both"/>
        <w:rPr>
          <w:b/>
        </w:rPr>
      </w:pPr>
    </w:p>
    <w:p w:rsidR="00873C7A" w:rsidRDefault="00B10458" w:rsidP="00215EAE">
      <w:pPr>
        <w:ind w:left="-284" w:firstLine="284"/>
        <w:jc w:val="both"/>
        <w:rPr>
          <w:b/>
        </w:rPr>
      </w:pPr>
      <w:r>
        <w:rPr>
          <w:b/>
          <w:noProof/>
          <w:lang w:eastAsia="es-MX"/>
        </w:rPr>
        <w:drawing>
          <wp:anchor distT="0" distB="0" distL="114300" distR="114300" simplePos="0" relativeHeight="251661312" behindDoc="0" locked="0" layoutInCell="1" allowOverlap="1" wp14:anchorId="1EFD718B" wp14:editId="7BF9927F">
            <wp:simplePos x="0" y="0"/>
            <wp:positionH relativeFrom="margin">
              <wp:posOffset>3005455</wp:posOffset>
            </wp:positionH>
            <wp:positionV relativeFrom="margin">
              <wp:posOffset>3359150</wp:posOffset>
            </wp:positionV>
            <wp:extent cx="2477770" cy="1874520"/>
            <wp:effectExtent l="19050" t="0" r="0"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3175" r="12731"/>
                    <a:stretch/>
                  </pic:blipFill>
                  <pic:spPr bwMode="auto">
                    <a:xfrm>
                      <a:off x="0" y="0"/>
                      <a:ext cx="2477770" cy="1874520"/>
                    </a:xfrm>
                    <a:prstGeom prst="rect">
                      <a:avLst/>
                    </a:prstGeom>
                    <a:ln>
                      <a:noFill/>
                    </a:ln>
                    <a:extLst>
                      <a:ext uri="{53640926-AAD7-44D8-BBD7-CCE9431645EC}">
                        <a14:shadowObscured xmlns:a14="http://schemas.microsoft.com/office/drawing/2010/main"/>
                      </a:ext>
                    </a:extLst>
                  </pic:spPr>
                </pic:pic>
              </a:graphicData>
            </a:graphic>
          </wp:anchor>
        </w:drawing>
      </w:r>
      <w:r>
        <w:rPr>
          <w:b/>
          <w:noProof/>
          <w:lang w:eastAsia="es-MX"/>
        </w:rPr>
        <w:drawing>
          <wp:anchor distT="0" distB="0" distL="114300" distR="114300" simplePos="0" relativeHeight="251660288" behindDoc="0" locked="0" layoutInCell="1" allowOverlap="1" wp14:anchorId="30760A66" wp14:editId="3B79B310">
            <wp:simplePos x="0" y="0"/>
            <wp:positionH relativeFrom="margin">
              <wp:posOffset>-378460</wp:posOffset>
            </wp:positionH>
            <wp:positionV relativeFrom="margin">
              <wp:posOffset>3248660</wp:posOffset>
            </wp:positionV>
            <wp:extent cx="2426970" cy="1840230"/>
            <wp:effectExtent l="19050" t="0" r="0" b="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2915" r="12860"/>
                    <a:stretch/>
                  </pic:blipFill>
                  <pic:spPr bwMode="auto">
                    <a:xfrm>
                      <a:off x="0" y="0"/>
                      <a:ext cx="2426970" cy="1840230"/>
                    </a:xfrm>
                    <a:prstGeom prst="rect">
                      <a:avLst/>
                    </a:prstGeom>
                    <a:ln>
                      <a:noFill/>
                    </a:ln>
                    <a:extLst>
                      <a:ext uri="{53640926-AAD7-44D8-BBD7-CCE9431645EC}">
                        <a14:shadowObscured xmlns:a14="http://schemas.microsoft.com/office/drawing/2010/main"/>
                      </a:ext>
                    </a:extLst>
                  </pic:spPr>
                </pic:pic>
              </a:graphicData>
            </a:graphic>
          </wp:anchor>
        </w:drawing>
      </w:r>
    </w:p>
    <w:p w:rsidR="00873C7A" w:rsidRDefault="00873C7A" w:rsidP="00215EAE">
      <w:pPr>
        <w:ind w:left="-284" w:firstLine="284"/>
        <w:jc w:val="both"/>
        <w:rPr>
          <w:b/>
        </w:rPr>
      </w:pPr>
    </w:p>
    <w:p w:rsidR="00873C7A" w:rsidRDefault="00873C7A" w:rsidP="00215EAE">
      <w:pPr>
        <w:tabs>
          <w:tab w:val="left" w:pos="9214"/>
        </w:tabs>
        <w:ind w:left="-284" w:firstLine="284"/>
        <w:jc w:val="both"/>
        <w:rPr>
          <w:b/>
        </w:rPr>
      </w:pPr>
    </w:p>
    <w:p w:rsidR="00873C7A" w:rsidRDefault="00B10458" w:rsidP="00215EAE">
      <w:pPr>
        <w:ind w:left="-284" w:firstLine="284"/>
        <w:jc w:val="both"/>
        <w:rPr>
          <w:b/>
        </w:rPr>
      </w:pPr>
      <w:r>
        <w:rPr>
          <w:b/>
          <w:noProof/>
          <w:lang w:eastAsia="es-MX"/>
        </w:rPr>
        <w:drawing>
          <wp:anchor distT="0" distB="0" distL="114300" distR="114300" simplePos="0" relativeHeight="251662336" behindDoc="0" locked="0" layoutInCell="1" allowOverlap="1" wp14:anchorId="46D735A5" wp14:editId="4931C3B2">
            <wp:simplePos x="0" y="0"/>
            <wp:positionH relativeFrom="margin">
              <wp:posOffset>-320675</wp:posOffset>
            </wp:positionH>
            <wp:positionV relativeFrom="margin">
              <wp:posOffset>5690870</wp:posOffset>
            </wp:positionV>
            <wp:extent cx="2368550" cy="1805305"/>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3306" r="12991"/>
                    <a:stretch/>
                  </pic:blipFill>
                  <pic:spPr bwMode="auto">
                    <a:xfrm>
                      <a:off x="0" y="0"/>
                      <a:ext cx="2368550" cy="1805305"/>
                    </a:xfrm>
                    <a:prstGeom prst="rect">
                      <a:avLst/>
                    </a:prstGeom>
                    <a:ln>
                      <a:noFill/>
                    </a:ln>
                    <a:extLst>
                      <a:ext uri="{53640926-AAD7-44D8-BBD7-CCE9431645EC}">
                        <a14:shadowObscured xmlns:a14="http://schemas.microsoft.com/office/drawing/2010/main"/>
                      </a:ext>
                    </a:extLst>
                  </pic:spPr>
                </pic:pic>
              </a:graphicData>
            </a:graphic>
          </wp:anchor>
        </w:drawing>
      </w:r>
    </w:p>
    <w:p w:rsidR="009865CF" w:rsidRDefault="009865CF" w:rsidP="00215EAE">
      <w:pPr>
        <w:ind w:left="-284" w:firstLine="284"/>
        <w:jc w:val="both"/>
        <w:rPr>
          <w:b/>
        </w:rPr>
      </w:pPr>
      <w:r>
        <w:rPr>
          <w:b/>
        </w:rPr>
        <w:t xml:space="preserve">       </w:t>
      </w:r>
    </w:p>
    <w:p w:rsidR="009865CF" w:rsidRDefault="00B10458" w:rsidP="00215EAE">
      <w:pPr>
        <w:ind w:left="-284" w:firstLine="284"/>
        <w:jc w:val="both"/>
        <w:rPr>
          <w:b/>
        </w:rPr>
      </w:pPr>
      <w:r>
        <w:rPr>
          <w:b/>
          <w:noProof/>
          <w:lang w:eastAsia="es-MX"/>
        </w:rPr>
        <w:drawing>
          <wp:anchor distT="0" distB="0" distL="114300" distR="114300" simplePos="0" relativeHeight="251663360" behindDoc="0" locked="0" layoutInCell="1" allowOverlap="1" wp14:anchorId="152D6BD1" wp14:editId="0A8DF6D6">
            <wp:simplePos x="0" y="0"/>
            <wp:positionH relativeFrom="margin">
              <wp:posOffset>3225165</wp:posOffset>
            </wp:positionH>
            <wp:positionV relativeFrom="margin">
              <wp:posOffset>5488940</wp:posOffset>
            </wp:positionV>
            <wp:extent cx="2334895" cy="1782445"/>
            <wp:effectExtent l="1905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3436" r="12860"/>
                    <a:stretch/>
                  </pic:blipFill>
                  <pic:spPr bwMode="auto">
                    <a:xfrm>
                      <a:off x="0" y="0"/>
                      <a:ext cx="2334895" cy="1782445"/>
                    </a:xfrm>
                    <a:prstGeom prst="rect">
                      <a:avLst/>
                    </a:prstGeom>
                    <a:ln>
                      <a:noFill/>
                    </a:ln>
                    <a:extLst>
                      <a:ext uri="{53640926-AAD7-44D8-BBD7-CCE9431645EC}">
                        <a14:shadowObscured xmlns:a14="http://schemas.microsoft.com/office/drawing/2010/main"/>
                      </a:ext>
                    </a:extLst>
                  </pic:spPr>
                </pic:pic>
              </a:graphicData>
            </a:graphic>
          </wp:anchor>
        </w:drawing>
      </w:r>
    </w:p>
    <w:p w:rsidR="009865CF" w:rsidRDefault="009865CF" w:rsidP="00215EAE">
      <w:pPr>
        <w:ind w:left="-284" w:firstLine="284"/>
        <w:jc w:val="both"/>
        <w:rPr>
          <w:b/>
        </w:rPr>
      </w:pPr>
      <w:r>
        <w:rPr>
          <w:noProof/>
          <w:lang w:eastAsia="es-MX"/>
        </w:rPr>
        <w:lastRenderedPageBreak/>
        <w:drawing>
          <wp:inline distT="0" distB="0" distL="0" distR="0" wp14:anchorId="03433548" wp14:editId="445FADD9">
            <wp:extent cx="2428646" cy="183962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2915" r="12860"/>
                    <a:stretch/>
                  </pic:blipFill>
                  <pic:spPr bwMode="auto">
                    <a:xfrm>
                      <a:off x="0" y="0"/>
                      <a:ext cx="2430544" cy="1841062"/>
                    </a:xfrm>
                    <a:prstGeom prst="rect">
                      <a:avLst/>
                    </a:prstGeom>
                    <a:ln>
                      <a:noFill/>
                    </a:ln>
                    <a:extLst>
                      <a:ext uri="{53640926-AAD7-44D8-BBD7-CCE9431645EC}">
                        <a14:shadowObscured xmlns:a14="http://schemas.microsoft.com/office/drawing/2010/main"/>
                      </a:ext>
                    </a:extLst>
                  </pic:spPr>
                </pic:pic>
              </a:graphicData>
            </a:graphic>
          </wp:inline>
        </w:drawing>
      </w:r>
    </w:p>
    <w:p w:rsidR="009865CF" w:rsidRDefault="003E0846" w:rsidP="00215EAE">
      <w:pPr>
        <w:ind w:left="-284" w:firstLine="284"/>
        <w:jc w:val="both"/>
        <w:rPr>
          <w:b/>
        </w:rPr>
      </w:pPr>
      <w:r>
        <w:rPr>
          <w:noProof/>
          <w:lang w:eastAsia="es-MX"/>
        </w:rPr>
        <w:drawing>
          <wp:inline distT="0" distB="0" distL="0" distR="0" wp14:anchorId="259D3B7F" wp14:editId="1C004391">
            <wp:extent cx="2242268" cy="16982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021" r="12745"/>
                    <a:stretch/>
                  </pic:blipFill>
                  <pic:spPr bwMode="auto">
                    <a:xfrm>
                      <a:off x="0" y="0"/>
                      <a:ext cx="2240161" cy="1696646"/>
                    </a:xfrm>
                    <a:prstGeom prst="rect">
                      <a:avLst/>
                    </a:prstGeom>
                    <a:ln>
                      <a:noFill/>
                    </a:ln>
                    <a:extLst>
                      <a:ext uri="{53640926-AAD7-44D8-BBD7-CCE9431645EC}">
                        <a14:shadowObscured xmlns:a14="http://schemas.microsoft.com/office/drawing/2010/main"/>
                      </a:ext>
                    </a:extLst>
                  </pic:spPr>
                </pic:pic>
              </a:graphicData>
            </a:graphic>
          </wp:inline>
        </w:drawing>
      </w:r>
      <w:r w:rsidR="00D42705">
        <w:rPr>
          <w:b/>
        </w:rPr>
        <w:t xml:space="preserve">        </w:t>
      </w:r>
      <w:r w:rsidR="009865CF">
        <w:rPr>
          <w:noProof/>
          <w:lang w:eastAsia="es-MX"/>
        </w:rPr>
        <w:drawing>
          <wp:inline distT="0" distB="0" distL="0" distR="0" wp14:anchorId="512CCFA4" wp14:editId="3F26A8BC">
            <wp:extent cx="2170706" cy="17619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6176" r="14556"/>
                    <a:stretch/>
                  </pic:blipFill>
                  <pic:spPr bwMode="auto">
                    <a:xfrm>
                      <a:off x="0" y="0"/>
                      <a:ext cx="2173307" cy="1764022"/>
                    </a:xfrm>
                    <a:prstGeom prst="rect">
                      <a:avLst/>
                    </a:prstGeom>
                    <a:ln>
                      <a:noFill/>
                    </a:ln>
                    <a:extLst>
                      <a:ext uri="{53640926-AAD7-44D8-BBD7-CCE9431645EC}">
                        <a14:shadowObscured xmlns:a14="http://schemas.microsoft.com/office/drawing/2010/main"/>
                      </a:ext>
                    </a:extLst>
                  </pic:spPr>
                </pic:pic>
              </a:graphicData>
            </a:graphic>
          </wp:inline>
        </w:drawing>
      </w:r>
    </w:p>
    <w:p w:rsidR="009865CF" w:rsidRDefault="009865CF" w:rsidP="00215EAE">
      <w:pPr>
        <w:ind w:left="-284" w:firstLine="284"/>
        <w:jc w:val="both"/>
        <w:rPr>
          <w:b/>
        </w:rPr>
      </w:pPr>
    </w:p>
    <w:p w:rsidR="009865CF" w:rsidRDefault="009865CF" w:rsidP="00215EAE">
      <w:pPr>
        <w:ind w:left="-284" w:firstLine="284"/>
        <w:jc w:val="both"/>
        <w:rPr>
          <w:b/>
        </w:rPr>
      </w:pPr>
    </w:p>
    <w:p w:rsidR="009865CF" w:rsidRDefault="00B10458" w:rsidP="00215EAE">
      <w:pPr>
        <w:ind w:left="-284" w:firstLine="284"/>
        <w:rPr>
          <w:b/>
        </w:rPr>
      </w:pPr>
      <w:r>
        <w:rPr>
          <w:noProof/>
          <w:lang w:eastAsia="es-MX"/>
        </w:rPr>
        <w:drawing>
          <wp:inline distT="0" distB="0" distL="0" distR="0" wp14:anchorId="49240C30" wp14:editId="06F469C1">
            <wp:extent cx="2568272" cy="2501347"/>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047" t="21810" r="28906" b="8817"/>
                    <a:stretch/>
                  </pic:blipFill>
                  <pic:spPr bwMode="auto">
                    <a:xfrm>
                      <a:off x="0" y="0"/>
                      <a:ext cx="2587347" cy="2519925"/>
                    </a:xfrm>
                    <a:prstGeom prst="rect">
                      <a:avLst/>
                    </a:prstGeom>
                    <a:ln>
                      <a:noFill/>
                    </a:ln>
                    <a:extLst>
                      <a:ext uri="{53640926-AAD7-44D8-BBD7-CCE9431645EC}">
                        <a14:shadowObscured xmlns:a14="http://schemas.microsoft.com/office/drawing/2010/main"/>
                      </a:ext>
                    </a:extLst>
                  </pic:spPr>
                </pic:pic>
              </a:graphicData>
            </a:graphic>
          </wp:inline>
        </w:drawing>
      </w:r>
    </w:p>
    <w:p w:rsidR="009865CF" w:rsidRDefault="009865CF" w:rsidP="00215EAE">
      <w:pPr>
        <w:ind w:left="-284" w:firstLine="284"/>
        <w:jc w:val="both"/>
        <w:rPr>
          <w:b/>
        </w:rPr>
      </w:pPr>
    </w:p>
    <w:p w:rsidR="00AD70C7" w:rsidRDefault="00B25546" w:rsidP="00C04C60">
      <w:pPr>
        <w:ind w:left="-284" w:firstLine="284"/>
        <w:rPr>
          <w:rFonts w:ascii="Arial" w:hAnsi="Arial" w:cs="Arial"/>
          <w:b/>
          <w:sz w:val="24"/>
        </w:rPr>
      </w:pPr>
      <w:r>
        <w:rPr>
          <w:rFonts w:ascii="Arial" w:hAnsi="Arial" w:cs="Arial"/>
          <w:b/>
          <w:sz w:val="24"/>
        </w:rPr>
        <w:t>Discusión</w:t>
      </w:r>
    </w:p>
    <w:p w:rsidR="00B10458" w:rsidRDefault="00B10458" w:rsidP="00C04C60">
      <w:pPr>
        <w:ind w:left="-284" w:firstLine="992"/>
        <w:jc w:val="both"/>
        <w:rPr>
          <w:rFonts w:ascii="Arial" w:hAnsi="Arial" w:cs="Arial"/>
          <w:sz w:val="24"/>
        </w:rPr>
      </w:pPr>
      <w:r>
        <w:rPr>
          <w:rFonts w:ascii="Arial" w:hAnsi="Arial" w:cs="Arial"/>
          <w:sz w:val="24"/>
        </w:rPr>
        <w:lastRenderedPageBreak/>
        <w:t>La disminución de la potencia de las espigas en un 23%, indica que existió un decremento en la actividad eléctrica de la corteza cerebral durante la aplicación del DiC</w:t>
      </w:r>
      <w:r w:rsidRPr="00886286">
        <w:rPr>
          <w:rFonts w:ascii="Arial" w:hAnsi="Arial" w:cs="Arial"/>
          <w:sz w:val="24"/>
        </w:rPr>
        <w:t>F3-HEPA</w:t>
      </w:r>
      <w:r>
        <w:rPr>
          <w:rFonts w:ascii="Arial" w:hAnsi="Arial" w:cs="Arial"/>
          <w:sz w:val="24"/>
        </w:rPr>
        <w:t>, lo cual es de interés debido a que tuvo un efecto significativo y que posteriormente se puede transpolar al estudio de pacientes que padecen epilepsia en relación a los efectos del posible fármaco. La disminución de la frecuencia de la aparición de los complejos espiga/onda en el EEG disminuye un 62%, resultado de la  notoria efectividad del DiC</w:t>
      </w:r>
      <w:r w:rsidRPr="00886286">
        <w:rPr>
          <w:rFonts w:ascii="Arial" w:hAnsi="Arial" w:cs="Arial"/>
          <w:sz w:val="24"/>
        </w:rPr>
        <w:t>F3-HEPA</w:t>
      </w:r>
      <w:r>
        <w:rPr>
          <w:rFonts w:ascii="Arial" w:hAnsi="Arial" w:cs="Arial"/>
          <w:sz w:val="24"/>
        </w:rPr>
        <w:t xml:space="preserve"> en la disminución de la aparición de estos complejos; el resultado  sirve de esbozo para estudiar  los efectos clínicos que tiene en  pacientes ansiosos, que sufren epilepsia o que atraviesan por un SA a algún tipo de droga </w:t>
      </w:r>
      <w:proofErr w:type="spellStart"/>
      <w:r>
        <w:rPr>
          <w:rFonts w:ascii="Arial" w:hAnsi="Arial" w:cs="Arial"/>
          <w:sz w:val="24"/>
        </w:rPr>
        <w:t>GABAérgica</w:t>
      </w:r>
      <w:proofErr w:type="spellEnd"/>
      <w:r>
        <w:rPr>
          <w:rFonts w:ascii="Arial" w:hAnsi="Arial" w:cs="Arial"/>
          <w:sz w:val="24"/>
        </w:rPr>
        <w:t>. Al no tener significancia en los resultados de la disminución de la  conducta ansiosa, se deja reservado el estudio del DiCF3-HEPA con este resultado para profundizar más.</w:t>
      </w:r>
    </w:p>
    <w:p w:rsidR="00AD70C7" w:rsidRDefault="00B10458" w:rsidP="00215EAE">
      <w:pPr>
        <w:ind w:left="-284" w:firstLine="284"/>
        <w:rPr>
          <w:rFonts w:ascii="Arial" w:hAnsi="Arial" w:cs="Arial"/>
          <w:b/>
          <w:sz w:val="24"/>
        </w:rPr>
      </w:pPr>
      <w:r w:rsidRPr="00B10458">
        <w:rPr>
          <w:rFonts w:ascii="Arial" w:hAnsi="Arial" w:cs="Arial"/>
          <w:b/>
          <w:sz w:val="24"/>
        </w:rPr>
        <w:t>Conclusión</w:t>
      </w:r>
    </w:p>
    <w:p w:rsidR="00B10458" w:rsidRPr="00C04C60" w:rsidRDefault="00B10458" w:rsidP="00C04C60">
      <w:pPr>
        <w:pStyle w:val="Prrafodelista"/>
        <w:numPr>
          <w:ilvl w:val="0"/>
          <w:numId w:val="5"/>
        </w:numPr>
        <w:jc w:val="left"/>
        <w:rPr>
          <w:rFonts w:ascii="Arial" w:hAnsi="Arial" w:cs="Arial"/>
          <w:sz w:val="24"/>
        </w:rPr>
      </w:pPr>
      <w:r w:rsidRPr="00C04C60">
        <w:rPr>
          <w:rFonts w:ascii="Arial" w:hAnsi="Arial" w:cs="Arial"/>
          <w:sz w:val="24"/>
        </w:rPr>
        <w:t xml:space="preserve">El DiCF3-HEPA disminuye en un 23% la potencia EEG del SAG. </w:t>
      </w:r>
    </w:p>
    <w:p w:rsidR="00B10458" w:rsidRPr="00C04C60" w:rsidRDefault="00B10458" w:rsidP="00C04C60">
      <w:pPr>
        <w:pStyle w:val="Prrafodelista"/>
        <w:numPr>
          <w:ilvl w:val="0"/>
          <w:numId w:val="5"/>
        </w:numPr>
        <w:jc w:val="left"/>
        <w:rPr>
          <w:rFonts w:ascii="Arial" w:hAnsi="Arial" w:cs="Arial"/>
          <w:sz w:val="24"/>
        </w:rPr>
      </w:pPr>
      <w:r w:rsidRPr="00C04C60">
        <w:rPr>
          <w:rFonts w:ascii="Arial" w:hAnsi="Arial" w:cs="Arial"/>
          <w:sz w:val="24"/>
        </w:rPr>
        <w:t>El DiCF3-HEPA disminuye un 62% disminuye la frecuencia  de los complejos espiga/onda en el EEG durante el SAG.</w:t>
      </w:r>
    </w:p>
    <w:p w:rsidR="00B10458" w:rsidRPr="00C04C60" w:rsidRDefault="00B10458" w:rsidP="00C04C60">
      <w:pPr>
        <w:pStyle w:val="Prrafodelista"/>
        <w:numPr>
          <w:ilvl w:val="0"/>
          <w:numId w:val="5"/>
        </w:numPr>
        <w:jc w:val="left"/>
        <w:rPr>
          <w:rFonts w:ascii="Arial" w:hAnsi="Arial" w:cs="Arial"/>
          <w:sz w:val="24"/>
        </w:rPr>
      </w:pPr>
      <w:r w:rsidRPr="00C04C60">
        <w:rPr>
          <w:rFonts w:ascii="Arial" w:hAnsi="Arial" w:cs="Arial"/>
          <w:sz w:val="24"/>
        </w:rPr>
        <w:t>La aplicación de DicF3-HEPA no modifica la conducta tipo ansiosa del SAG.</w:t>
      </w:r>
    </w:p>
    <w:p w:rsidR="00B25546" w:rsidRDefault="00B25546" w:rsidP="00215EAE">
      <w:pPr>
        <w:ind w:left="-284" w:firstLine="284"/>
        <w:jc w:val="both"/>
        <w:rPr>
          <w:rFonts w:ascii="Arial" w:hAnsi="Arial" w:cs="Arial"/>
          <w:sz w:val="24"/>
        </w:rPr>
      </w:pPr>
    </w:p>
    <w:p w:rsidR="00C04C60" w:rsidRDefault="00C04C60" w:rsidP="00C04C60">
      <w:pPr>
        <w:ind w:left="-284" w:firstLine="284"/>
        <w:rPr>
          <w:rFonts w:ascii="Arial" w:hAnsi="Arial" w:cs="Arial"/>
          <w:b/>
          <w:color w:val="000000"/>
          <w:sz w:val="24"/>
          <w:szCs w:val="24"/>
        </w:rPr>
      </w:pPr>
    </w:p>
    <w:p w:rsidR="00C04C60" w:rsidRDefault="00C04C60" w:rsidP="00C04C60">
      <w:pPr>
        <w:ind w:left="-284" w:firstLine="284"/>
        <w:rPr>
          <w:rFonts w:ascii="Arial" w:hAnsi="Arial" w:cs="Arial"/>
          <w:b/>
          <w:color w:val="000000"/>
          <w:sz w:val="24"/>
          <w:szCs w:val="24"/>
        </w:rPr>
      </w:pPr>
    </w:p>
    <w:p w:rsidR="00C04C60" w:rsidRDefault="00C04C60" w:rsidP="00C04C60">
      <w:pPr>
        <w:ind w:left="-284" w:firstLine="284"/>
        <w:rPr>
          <w:rFonts w:ascii="Arial" w:hAnsi="Arial" w:cs="Arial"/>
          <w:b/>
          <w:color w:val="000000"/>
          <w:sz w:val="24"/>
          <w:szCs w:val="24"/>
        </w:rPr>
      </w:pPr>
    </w:p>
    <w:p w:rsidR="00886286" w:rsidRDefault="00886286" w:rsidP="00C04C60">
      <w:pPr>
        <w:ind w:left="-284" w:firstLine="284"/>
        <w:rPr>
          <w:rFonts w:ascii="Arial" w:hAnsi="Arial" w:cs="Arial"/>
          <w:b/>
          <w:color w:val="000000"/>
          <w:sz w:val="24"/>
          <w:szCs w:val="24"/>
        </w:rPr>
      </w:pPr>
      <w:r w:rsidRPr="00B10458">
        <w:rPr>
          <w:rFonts w:ascii="Arial" w:hAnsi="Arial" w:cs="Arial"/>
          <w:b/>
          <w:color w:val="000000"/>
          <w:sz w:val="24"/>
          <w:szCs w:val="24"/>
        </w:rPr>
        <w:t>BIBLIOGRAFÍA</w:t>
      </w:r>
    </w:p>
    <w:p w:rsidR="0071496E" w:rsidRPr="00EB6020" w:rsidRDefault="0071496E" w:rsidP="00215EAE">
      <w:pPr>
        <w:pStyle w:val="Prrafodelista"/>
        <w:numPr>
          <w:ilvl w:val="0"/>
          <w:numId w:val="3"/>
        </w:numPr>
        <w:ind w:left="-284" w:firstLine="284"/>
        <w:jc w:val="both"/>
        <w:rPr>
          <w:rFonts w:ascii="Arial" w:hAnsi="Arial" w:cs="Arial"/>
          <w:sz w:val="24"/>
          <w:szCs w:val="24"/>
        </w:rPr>
      </w:pPr>
      <w:r w:rsidRPr="00EB6020">
        <w:rPr>
          <w:rFonts w:ascii="Arial" w:hAnsi="Arial" w:cs="Arial"/>
          <w:sz w:val="24"/>
          <w:szCs w:val="24"/>
        </w:rPr>
        <w:t xml:space="preserve">Academia Nacional de Medicina (1999). Guía para el cuidado y uso de los animales de laboratorio. 1ª. edición en </w:t>
      </w:r>
      <w:r w:rsidR="00EB6020" w:rsidRPr="00EB6020">
        <w:rPr>
          <w:rFonts w:ascii="Arial" w:hAnsi="Arial" w:cs="Arial"/>
          <w:sz w:val="24"/>
          <w:szCs w:val="24"/>
        </w:rPr>
        <w:t>español</w:t>
      </w:r>
      <w:r w:rsidRPr="00EB6020">
        <w:rPr>
          <w:rFonts w:ascii="Arial" w:hAnsi="Arial" w:cs="Arial"/>
          <w:sz w:val="24"/>
          <w:szCs w:val="24"/>
        </w:rPr>
        <w:t>, Academia Nacional de Medicina. México (DF).</w:t>
      </w:r>
    </w:p>
    <w:p w:rsidR="0071496E" w:rsidRPr="00EB6020" w:rsidRDefault="00886286" w:rsidP="00215EAE">
      <w:pPr>
        <w:pStyle w:val="Prrafodelista"/>
        <w:numPr>
          <w:ilvl w:val="0"/>
          <w:numId w:val="3"/>
        </w:numPr>
        <w:ind w:left="-284" w:firstLine="284"/>
        <w:jc w:val="both"/>
        <w:rPr>
          <w:rFonts w:ascii="Arial" w:hAnsi="Arial" w:cs="Arial"/>
          <w:color w:val="000000"/>
          <w:sz w:val="24"/>
          <w:szCs w:val="24"/>
        </w:rPr>
      </w:pPr>
      <w:r w:rsidRPr="00EB6020">
        <w:rPr>
          <w:rFonts w:ascii="Arial" w:hAnsi="Arial" w:cs="Arial"/>
          <w:color w:val="000000"/>
          <w:sz w:val="24"/>
          <w:szCs w:val="24"/>
        </w:rPr>
        <w:lastRenderedPageBreak/>
        <w:t>Calixto, Eduardo. (2012). La abstinencia al GABA: 20 años de un modelo de hiperexcitabilidad neuronal. Salud Mental, 35, 427-434</w:t>
      </w:r>
    </w:p>
    <w:p w:rsidR="00886286" w:rsidRPr="00EB6020" w:rsidRDefault="00886286" w:rsidP="00215EAE">
      <w:pPr>
        <w:pStyle w:val="Prrafodelista"/>
        <w:numPr>
          <w:ilvl w:val="0"/>
          <w:numId w:val="3"/>
        </w:numPr>
        <w:ind w:left="-284" w:firstLine="284"/>
        <w:jc w:val="both"/>
        <w:rPr>
          <w:rFonts w:ascii="Arial" w:hAnsi="Arial" w:cs="Arial"/>
          <w:color w:val="000000"/>
          <w:sz w:val="24"/>
          <w:szCs w:val="24"/>
        </w:rPr>
      </w:pPr>
      <w:r w:rsidRPr="00EB6020">
        <w:rPr>
          <w:rFonts w:ascii="Arial" w:hAnsi="Arial" w:cs="Arial"/>
          <w:color w:val="000000"/>
          <w:sz w:val="24"/>
          <w:szCs w:val="24"/>
        </w:rPr>
        <w:t xml:space="preserve">Calixto E, </w:t>
      </w:r>
      <w:proofErr w:type="spellStart"/>
      <w:r w:rsidRPr="00EB6020">
        <w:rPr>
          <w:rFonts w:ascii="Arial" w:hAnsi="Arial" w:cs="Arial"/>
          <w:color w:val="000000"/>
          <w:sz w:val="24"/>
          <w:szCs w:val="24"/>
        </w:rPr>
        <w:t>Nani</w:t>
      </w:r>
      <w:proofErr w:type="spellEnd"/>
      <w:r w:rsidRPr="00EB6020">
        <w:rPr>
          <w:rFonts w:ascii="Arial" w:hAnsi="Arial" w:cs="Arial"/>
          <w:color w:val="000000"/>
          <w:sz w:val="24"/>
          <w:szCs w:val="24"/>
        </w:rPr>
        <w:t xml:space="preserve"> A, Cruz C. (2015). 30 años de estudio de electrofisiología, conducta, diferencia de género y biología molecular del síndrome de abstinencia a GABA. Salud Mental, Vol. 38 S1, 36.</w:t>
      </w:r>
    </w:p>
    <w:p w:rsidR="0071496E" w:rsidRPr="00EB6020" w:rsidRDefault="0071496E" w:rsidP="00215EAE">
      <w:pPr>
        <w:pStyle w:val="Prrafodelista"/>
        <w:numPr>
          <w:ilvl w:val="0"/>
          <w:numId w:val="3"/>
        </w:numPr>
        <w:ind w:left="-284" w:firstLine="284"/>
        <w:jc w:val="both"/>
        <w:rPr>
          <w:rFonts w:ascii="Arial" w:hAnsi="Arial" w:cs="Arial"/>
          <w:sz w:val="24"/>
          <w:szCs w:val="24"/>
          <w:bdr w:val="none" w:sz="0" w:space="0" w:color="auto" w:frame="1"/>
          <w:shd w:val="clear" w:color="auto" w:fill="FFFFFF"/>
          <w:lang w:val="en-US"/>
        </w:rPr>
      </w:pPr>
      <w:proofErr w:type="spellStart"/>
      <w:r w:rsidRPr="00EB6020">
        <w:rPr>
          <w:rFonts w:ascii="Arial" w:hAnsi="Arial" w:cs="Arial"/>
          <w:sz w:val="24"/>
          <w:szCs w:val="24"/>
          <w:shd w:val="clear" w:color="auto" w:fill="FFFFFF"/>
        </w:rPr>
        <w:t>Cuzon</w:t>
      </w:r>
      <w:proofErr w:type="spellEnd"/>
      <w:r w:rsidRPr="00EB6020">
        <w:rPr>
          <w:rFonts w:ascii="Arial" w:hAnsi="Arial" w:cs="Arial"/>
          <w:sz w:val="24"/>
          <w:szCs w:val="24"/>
          <w:shd w:val="clear" w:color="auto" w:fill="FFFFFF"/>
        </w:rPr>
        <w:t xml:space="preserve"> </w:t>
      </w:r>
      <w:proofErr w:type="spellStart"/>
      <w:r w:rsidRPr="00EB6020">
        <w:rPr>
          <w:rFonts w:ascii="Arial" w:hAnsi="Arial" w:cs="Arial"/>
          <w:sz w:val="24"/>
          <w:szCs w:val="24"/>
          <w:shd w:val="clear" w:color="auto" w:fill="FFFFFF"/>
        </w:rPr>
        <w:t>Carlson</w:t>
      </w:r>
      <w:proofErr w:type="spellEnd"/>
      <w:r w:rsidRPr="00EB6020">
        <w:rPr>
          <w:rFonts w:ascii="Arial" w:hAnsi="Arial" w:cs="Arial"/>
          <w:sz w:val="24"/>
          <w:szCs w:val="24"/>
          <w:shd w:val="clear" w:color="auto" w:fill="FFFFFF"/>
        </w:rPr>
        <w:t xml:space="preserve">, V. C., y </w:t>
      </w:r>
      <w:proofErr w:type="spellStart"/>
      <w:r w:rsidRPr="00EB6020">
        <w:rPr>
          <w:rFonts w:ascii="Arial" w:hAnsi="Arial" w:cs="Arial"/>
          <w:sz w:val="24"/>
          <w:szCs w:val="24"/>
          <w:shd w:val="clear" w:color="auto" w:fill="FFFFFF"/>
        </w:rPr>
        <w:t>Yeh</w:t>
      </w:r>
      <w:proofErr w:type="spellEnd"/>
      <w:r w:rsidRPr="00EB6020">
        <w:rPr>
          <w:rFonts w:ascii="Arial" w:hAnsi="Arial" w:cs="Arial"/>
          <w:sz w:val="24"/>
          <w:szCs w:val="24"/>
          <w:shd w:val="clear" w:color="auto" w:fill="FFFFFF"/>
        </w:rPr>
        <w:t xml:space="preserve">, H. H. (2011). </w:t>
      </w:r>
      <w:r w:rsidRPr="00EB6020">
        <w:rPr>
          <w:rFonts w:ascii="Arial" w:hAnsi="Arial" w:cs="Arial"/>
          <w:sz w:val="24"/>
          <w:szCs w:val="24"/>
          <w:shd w:val="clear" w:color="auto" w:fill="FFFFFF"/>
          <w:lang w:val="en-US"/>
        </w:rPr>
        <w:t>GABA</w:t>
      </w:r>
      <w:r w:rsidRPr="00EB6020">
        <w:rPr>
          <w:rFonts w:ascii="Arial" w:hAnsi="Arial" w:cs="Arial"/>
          <w:sz w:val="24"/>
          <w:szCs w:val="24"/>
          <w:shd w:val="clear" w:color="auto" w:fill="FFFFFF"/>
          <w:vertAlign w:val="subscript"/>
          <w:lang w:val="en-US"/>
        </w:rPr>
        <w:t>A</w:t>
      </w:r>
      <w:r w:rsidRPr="00EB6020">
        <w:rPr>
          <w:rStyle w:val="apple-converted-space"/>
          <w:rFonts w:ascii="Arial" w:hAnsi="Arial" w:cs="Arial"/>
          <w:sz w:val="24"/>
          <w:szCs w:val="24"/>
          <w:shd w:val="clear" w:color="auto" w:fill="FFFFFF"/>
          <w:lang w:val="en-US"/>
        </w:rPr>
        <w:t> </w:t>
      </w:r>
      <w:r w:rsidRPr="00EB6020">
        <w:rPr>
          <w:rFonts w:ascii="Arial" w:hAnsi="Arial" w:cs="Arial"/>
          <w:sz w:val="24"/>
          <w:szCs w:val="24"/>
          <w:shd w:val="clear" w:color="auto" w:fill="FFFFFF"/>
          <w:lang w:val="en-US"/>
        </w:rPr>
        <w:t>Receptor Subunit Profiles of Tangentially Migrating Neurons Derived From the Medial Ganglionic Eminence.</w:t>
      </w:r>
      <w:r w:rsidRPr="00EB6020">
        <w:rPr>
          <w:rStyle w:val="apple-converted-space"/>
          <w:rFonts w:ascii="Arial" w:hAnsi="Arial" w:cs="Arial"/>
          <w:sz w:val="24"/>
          <w:szCs w:val="24"/>
          <w:shd w:val="clear" w:color="auto" w:fill="FFFFFF"/>
          <w:lang w:val="en-US"/>
        </w:rPr>
        <w:t> </w:t>
      </w:r>
      <w:r w:rsidRPr="00EB6020">
        <w:rPr>
          <w:rFonts w:ascii="Arial" w:hAnsi="Arial" w:cs="Arial"/>
          <w:i/>
          <w:iCs/>
          <w:sz w:val="24"/>
          <w:szCs w:val="24"/>
          <w:shd w:val="clear" w:color="auto" w:fill="FFFFFF"/>
          <w:lang w:val="en-US"/>
        </w:rPr>
        <w:t>Cerebral Cortex (New York, NY)</w:t>
      </w:r>
      <w:r w:rsidRPr="00EB6020">
        <w:rPr>
          <w:rFonts w:ascii="Arial" w:hAnsi="Arial" w:cs="Arial"/>
          <w:sz w:val="24"/>
          <w:szCs w:val="24"/>
          <w:shd w:val="clear" w:color="auto" w:fill="FFFFFF"/>
          <w:lang w:val="en-US"/>
        </w:rPr>
        <w:t>,</w:t>
      </w:r>
      <w:r w:rsidRPr="00EB6020">
        <w:rPr>
          <w:rStyle w:val="apple-converted-space"/>
          <w:rFonts w:ascii="Arial" w:hAnsi="Arial" w:cs="Arial"/>
          <w:sz w:val="24"/>
          <w:szCs w:val="24"/>
          <w:shd w:val="clear" w:color="auto" w:fill="FFFFFF"/>
          <w:lang w:val="en-US"/>
        </w:rPr>
        <w:t> </w:t>
      </w:r>
      <w:r w:rsidRPr="00EB6020">
        <w:rPr>
          <w:rFonts w:ascii="Arial" w:hAnsi="Arial" w:cs="Arial"/>
          <w:i/>
          <w:iCs/>
          <w:sz w:val="24"/>
          <w:szCs w:val="24"/>
          <w:shd w:val="clear" w:color="auto" w:fill="FFFFFF"/>
          <w:lang w:val="en-US"/>
        </w:rPr>
        <w:t>21</w:t>
      </w:r>
      <w:r w:rsidRPr="00EB6020">
        <w:rPr>
          <w:rFonts w:ascii="Arial" w:hAnsi="Arial" w:cs="Arial"/>
          <w:sz w:val="24"/>
          <w:szCs w:val="24"/>
          <w:shd w:val="clear" w:color="auto" w:fill="FFFFFF"/>
          <w:lang w:val="en-US"/>
        </w:rPr>
        <w:t xml:space="preserve">(8), 1792–1802. </w:t>
      </w:r>
    </w:p>
    <w:p w:rsidR="0071496E" w:rsidRPr="00EB6020" w:rsidRDefault="0071496E" w:rsidP="00215EAE">
      <w:pPr>
        <w:pStyle w:val="Prrafodelista"/>
        <w:numPr>
          <w:ilvl w:val="0"/>
          <w:numId w:val="3"/>
        </w:numPr>
        <w:ind w:left="-284" w:firstLine="284"/>
        <w:jc w:val="both"/>
        <w:rPr>
          <w:rFonts w:ascii="Arial" w:hAnsi="Arial" w:cs="Arial"/>
          <w:sz w:val="24"/>
          <w:szCs w:val="24"/>
        </w:rPr>
      </w:pPr>
      <w:proofErr w:type="spellStart"/>
      <w:r w:rsidRPr="00EB6020">
        <w:rPr>
          <w:rFonts w:ascii="Arial" w:hAnsi="Arial" w:cs="Arial"/>
          <w:sz w:val="24"/>
          <w:szCs w:val="24"/>
          <w:lang w:val="en-US"/>
        </w:rPr>
        <w:t>Fernández</w:t>
      </w:r>
      <w:proofErr w:type="spellEnd"/>
      <w:r w:rsidRPr="00EB6020">
        <w:rPr>
          <w:rFonts w:ascii="Arial" w:hAnsi="Arial" w:cs="Arial"/>
          <w:sz w:val="24"/>
          <w:szCs w:val="24"/>
          <w:lang w:val="en-US"/>
        </w:rPr>
        <w:t xml:space="preserve">- </w:t>
      </w:r>
      <w:proofErr w:type="spellStart"/>
      <w:r w:rsidRPr="00EB6020">
        <w:rPr>
          <w:rFonts w:ascii="Arial" w:hAnsi="Arial" w:cs="Arial"/>
          <w:sz w:val="24"/>
          <w:szCs w:val="24"/>
          <w:lang w:val="en-US"/>
        </w:rPr>
        <w:t>Guasti</w:t>
      </w:r>
      <w:proofErr w:type="spellEnd"/>
      <w:r w:rsidRPr="00EB6020">
        <w:rPr>
          <w:rFonts w:ascii="Arial" w:hAnsi="Arial" w:cs="Arial"/>
          <w:sz w:val="24"/>
          <w:szCs w:val="24"/>
          <w:lang w:val="en-US"/>
        </w:rPr>
        <w:t xml:space="preserve">, A. y </w:t>
      </w:r>
      <w:proofErr w:type="spellStart"/>
      <w:r w:rsidRPr="00EB6020">
        <w:rPr>
          <w:rFonts w:ascii="Arial" w:hAnsi="Arial" w:cs="Arial"/>
          <w:sz w:val="24"/>
          <w:szCs w:val="24"/>
          <w:lang w:val="en-US"/>
        </w:rPr>
        <w:t>Picazo</w:t>
      </w:r>
      <w:proofErr w:type="spellEnd"/>
      <w:r w:rsidRPr="00EB6020">
        <w:rPr>
          <w:rFonts w:ascii="Arial" w:hAnsi="Arial" w:cs="Arial"/>
          <w:sz w:val="24"/>
          <w:szCs w:val="24"/>
          <w:lang w:val="en-US"/>
        </w:rPr>
        <w:t xml:space="preserve">, O. (1999). Sexual Differentiation Modifies the </w:t>
      </w:r>
      <w:proofErr w:type="spellStart"/>
      <w:r w:rsidRPr="00EB6020">
        <w:rPr>
          <w:rFonts w:ascii="Arial" w:hAnsi="Arial" w:cs="Arial"/>
          <w:sz w:val="24"/>
          <w:szCs w:val="24"/>
          <w:lang w:val="en-US"/>
        </w:rPr>
        <w:t>Allopregnanolone</w:t>
      </w:r>
      <w:proofErr w:type="spellEnd"/>
      <w:r w:rsidRPr="00EB6020">
        <w:rPr>
          <w:rFonts w:ascii="Arial" w:hAnsi="Arial" w:cs="Arial"/>
          <w:sz w:val="24"/>
          <w:szCs w:val="24"/>
          <w:lang w:val="en-US"/>
        </w:rPr>
        <w:t xml:space="preserve"> Anxiolytic Actions in Rats. </w:t>
      </w:r>
      <w:proofErr w:type="spellStart"/>
      <w:r w:rsidRPr="00EB6020">
        <w:rPr>
          <w:rFonts w:ascii="Arial" w:hAnsi="Arial" w:cs="Arial"/>
          <w:i/>
          <w:sz w:val="24"/>
          <w:szCs w:val="24"/>
        </w:rPr>
        <w:t>Psychoneuroendocrinology</w:t>
      </w:r>
      <w:proofErr w:type="spellEnd"/>
      <w:r w:rsidRPr="00EB6020">
        <w:rPr>
          <w:rFonts w:ascii="Arial" w:hAnsi="Arial" w:cs="Arial"/>
          <w:sz w:val="24"/>
          <w:szCs w:val="24"/>
        </w:rPr>
        <w:t>, 24: 251-267.</w:t>
      </w:r>
    </w:p>
    <w:p w:rsidR="0071496E" w:rsidRPr="00EB6020" w:rsidRDefault="0071496E" w:rsidP="00215EAE">
      <w:pPr>
        <w:pStyle w:val="Prrafodelista"/>
        <w:numPr>
          <w:ilvl w:val="0"/>
          <w:numId w:val="4"/>
        </w:numPr>
        <w:ind w:left="-284" w:firstLine="284"/>
        <w:jc w:val="both"/>
        <w:rPr>
          <w:rFonts w:ascii="Arial" w:hAnsi="Arial" w:cs="Arial"/>
          <w:sz w:val="24"/>
          <w:szCs w:val="24"/>
          <w:shd w:val="clear" w:color="auto" w:fill="FFFFFF"/>
          <w:lang w:val="en-US"/>
        </w:rPr>
      </w:pPr>
      <w:proofErr w:type="spellStart"/>
      <w:r w:rsidRPr="00EB6020">
        <w:rPr>
          <w:rFonts w:ascii="Arial" w:hAnsi="Arial" w:cs="Arial"/>
          <w:sz w:val="24"/>
          <w:szCs w:val="24"/>
          <w:shd w:val="clear" w:color="auto" w:fill="FFFFFF"/>
          <w:lang w:val="en-US"/>
        </w:rPr>
        <w:t>Magnaghi</w:t>
      </w:r>
      <w:proofErr w:type="spellEnd"/>
      <w:r w:rsidRPr="00EB6020">
        <w:rPr>
          <w:rFonts w:ascii="Arial" w:hAnsi="Arial" w:cs="Arial"/>
          <w:sz w:val="24"/>
          <w:szCs w:val="24"/>
          <w:shd w:val="clear" w:color="auto" w:fill="FFFFFF"/>
          <w:lang w:val="en-US"/>
        </w:rPr>
        <w:t xml:space="preserve">, V. (2007). GABA and </w:t>
      </w:r>
      <w:proofErr w:type="spellStart"/>
      <w:r w:rsidRPr="00EB6020">
        <w:rPr>
          <w:rFonts w:ascii="Arial" w:hAnsi="Arial" w:cs="Arial"/>
          <w:sz w:val="24"/>
          <w:szCs w:val="24"/>
          <w:shd w:val="clear" w:color="auto" w:fill="FFFFFF"/>
          <w:lang w:val="en-US"/>
        </w:rPr>
        <w:t>Neuroactive</w:t>
      </w:r>
      <w:proofErr w:type="spellEnd"/>
      <w:r w:rsidRPr="00EB6020">
        <w:rPr>
          <w:rFonts w:ascii="Arial" w:hAnsi="Arial" w:cs="Arial"/>
          <w:sz w:val="24"/>
          <w:szCs w:val="24"/>
          <w:shd w:val="clear" w:color="auto" w:fill="FFFFFF"/>
          <w:lang w:val="en-US"/>
        </w:rPr>
        <w:t xml:space="preserve"> Steroid Interactions in Glia: New Roles for Old Players?</w:t>
      </w:r>
      <w:r w:rsidRPr="00EB6020">
        <w:rPr>
          <w:rStyle w:val="apple-converted-space"/>
          <w:rFonts w:ascii="Arial" w:hAnsi="Arial" w:cs="Arial"/>
          <w:sz w:val="24"/>
          <w:szCs w:val="24"/>
          <w:shd w:val="clear" w:color="auto" w:fill="FFFFFF"/>
          <w:lang w:val="en-US"/>
        </w:rPr>
        <w:t> </w:t>
      </w:r>
      <w:r w:rsidRPr="00EB6020">
        <w:rPr>
          <w:rFonts w:ascii="Arial" w:hAnsi="Arial" w:cs="Arial"/>
          <w:i/>
          <w:iCs/>
          <w:sz w:val="24"/>
          <w:szCs w:val="24"/>
          <w:shd w:val="clear" w:color="auto" w:fill="FFFFFF"/>
          <w:lang w:val="en-US"/>
        </w:rPr>
        <w:t>Current Neuropharmacology</w:t>
      </w:r>
      <w:r w:rsidRPr="00EB6020">
        <w:rPr>
          <w:rFonts w:ascii="Arial" w:hAnsi="Arial" w:cs="Arial"/>
          <w:sz w:val="24"/>
          <w:szCs w:val="24"/>
          <w:shd w:val="clear" w:color="auto" w:fill="FFFFFF"/>
          <w:lang w:val="en-US"/>
        </w:rPr>
        <w:t>.</w:t>
      </w:r>
      <w:r w:rsidRPr="00EB6020">
        <w:rPr>
          <w:rStyle w:val="apple-converted-space"/>
          <w:rFonts w:ascii="Arial" w:hAnsi="Arial" w:cs="Arial"/>
          <w:sz w:val="24"/>
          <w:szCs w:val="24"/>
          <w:shd w:val="clear" w:color="auto" w:fill="FFFFFF"/>
          <w:lang w:val="en-US"/>
        </w:rPr>
        <w:t> </w:t>
      </w:r>
      <w:r w:rsidRPr="00EB6020">
        <w:rPr>
          <w:rFonts w:ascii="Arial" w:hAnsi="Arial" w:cs="Arial"/>
          <w:i/>
          <w:iCs/>
          <w:sz w:val="24"/>
          <w:szCs w:val="24"/>
          <w:shd w:val="clear" w:color="auto" w:fill="FFFFFF"/>
          <w:lang w:val="en-US"/>
        </w:rPr>
        <w:t>5</w:t>
      </w:r>
      <w:r w:rsidRPr="00EB6020">
        <w:rPr>
          <w:rFonts w:ascii="Arial" w:hAnsi="Arial" w:cs="Arial"/>
          <w:sz w:val="24"/>
          <w:szCs w:val="24"/>
          <w:shd w:val="clear" w:color="auto" w:fill="FFFFFF"/>
          <w:lang w:val="en-US"/>
        </w:rPr>
        <w:t>(1), 47–64.</w:t>
      </w:r>
    </w:p>
    <w:p w:rsidR="0071496E" w:rsidRPr="00EB6020" w:rsidRDefault="00886286" w:rsidP="00215EAE">
      <w:pPr>
        <w:pStyle w:val="Prrafodelista"/>
        <w:numPr>
          <w:ilvl w:val="0"/>
          <w:numId w:val="3"/>
        </w:numPr>
        <w:ind w:left="-284" w:firstLine="284"/>
        <w:jc w:val="both"/>
        <w:rPr>
          <w:rFonts w:ascii="Arial" w:hAnsi="Arial" w:cs="Arial"/>
          <w:color w:val="000000"/>
          <w:sz w:val="24"/>
          <w:szCs w:val="24"/>
        </w:rPr>
      </w:pPr>
      <w:r w:rsidRPr="00EB6020">
        <w:rPr>
          <w:rFonts w:ascii="Arial" w:hAnsi="Arial" w:cs="Arial"/>
          <w:color w:val="000000"/>
          <w:sz w:val="24"/>
          <w:szCs w:val="24"/>
        </w:rPr>
        <w:t>Rosas I, Simón K, Mercado F. (2012). Mecanismo celular y molecular de la adicción a benzodiacepinas. Salud Mental, Vol.36, No.4, 352-329.</w:t>
      </w:r>
    </w:p>
    <w:p w:rsidR="00B10458" w:rsidRPr="00EB6020" w:rsidRDefault="00B10458" w:rsidP="00215EAE">
      <w:pPr>
        <w:pStyle w:val="Prrafodelista"/>
        <w:numPr>
          <w:ilvl w:val="0"/>
          <w:numId w:val="3"/>
        </w:numPr>
        <w:ind w:left="-284" w:firstLine="284"/>
        <w:jc w:val="both"/>
        <w:rPr>
          <w:rFonts w:ascii="Arial" w:hAnsi="Arial" w:cs="Arial"/>
          <w:sz w:val="24"/>
          <w:szCs w:val="24"/>
          <w:lang w:val="en-US"/>
        </w:rPr>
      </w:pPr>
      <w:proofErr w:type="spellStart"/>
      <w:r w:rsidRPr="00EB6020">
        <w:rPr>
          <w:rFonts w:ascii="Arial" w:hAnsi="Arial" w:cs="Arial"/>
          <w:sz w:val="24"/>
          <w:szCs w:val="24"/>
          <w:lang w:val="en-US"/>
        </w:rPr>
        <w:t>Schousboe</w:t>
      </w:r>
      <w:proofErr w:type="spellEnd"/>
      <w:r w:rsidRPr="00EB6020">
        <w:rPr>
          <w:rFonts w:ascii="Arial" w:hAnsi="Arial" w:cs="Arial"/>
          <w:sz w:val="24"/>
          <w:szCs w:val="24"/>
          <w:lang w:val="en-US"/>
        </w:rPr>
        <w:t xml:space="preserve">, A. </w:t>
      </w:r>
      <w:proofErr w:type="spellStart"/>
      <w:r w:rsidRPr="00EB6020">
        <w:rPr>
          <w:rStyle w:val="author"/>
          <w:rFonts w:ascii="Arial" w:hAnsi="Arial" w:cs="Arial"/>
          <w:sz w:val="24"/>
          <w:szCs w:val="24"/>
          <w:bdr w:val="none" w:sz="0" w:space="0" w:color="auto" w:frame="1"/>
          <w:lang w:val="en-US"/>
        </w:rPr>
        <w:t>Waagepetersen</w:t>
      </w:r>
      <w:proofErr w:type="spellEnd"/>
      <w:r w:rsidRPr="00EB6020">
        <w:rPr>
          <w:rStyle w:val="author"/>
          <w:rFonts w:ascii="Arial" w:hAnsi="Arial" w:cs="Arial"/>
          <w:sz w:val="24"/>
          <w:szCs w:val="24"/>
          <w:bdr w:val="none" w:sz="0" w:space="0" w:color="auto" w:frame="1"/>
          <w:lang w:val="en-US"/>
        </w:rPr>
        <w:t>, H.S.</w:t>
      </w:r>
      <w:r w:rsidRPr="00EB6020">
        <w:rPr>
          <w:rStyle w:val="apple-converted-space"/>
          <w:rFonts w:ascii="Arial" w:hAnsi="Arial" w:cs="Arial"/>
          <w:sz w:val="24"/>
          <w:szCs w:val="24"/>
          <w:bdr w:val="none" w:sz="0" w:space="0" w:color="auto" w:frame="1"/>
          <w:shd w:val="clear" w:color="auto" w:fill="FFFFFF"/>
          <w:lang w:val="en-US"/>
        </w:rPr>
        <w:t> </w:t>
      </w:r>
      <w:r w:rsidRPr="00EB6020">
        <w:rPr>
          <w:rStyle w:val="CitaHTML"/>
          <w:rFonts w:ascii="Arial" w:hAnsi="Arial" w:cs="Arial"/>
          <w:sz w:val="24"/>
          <w:szCs w:val="24"/>
          <w:bdr w:val="none" w:sz="0" w:space="0" w:color="auto" w:frame="1"/>
          <w:shd w:val="clear" w:color="auto" w:fill="FFFFFF"/>
          <w:lang w:val="en-US"/>
        </w:rPr>
        <w:t>(</w:t>
      </w:r>
      <w:r w:rsidRPr="00EB6020">
        <w:rPr>
          <w:rStyle w:val="pubyear"/>
          <w:rFonts w:ascii="Arial" w:hAnsi="Arial" w:cs="Arial"/>
          <w:sz w:val="24"/>
          <w:szCs w:val="24"/>
          <w:bdr w:val="none" w:sz="0" w:space="0" w:color="auto" w:frame="1"/>
          <w:lang w:val="en-US"/>
        </w:rPr>
        <w:t>2007</w:t>
      </w:r>
      <w:r w:rsidRPr="00EB6020">
        <w:rPr>
          <w:rStyle w:val="CitaHTML"/>
          <w:rFonts w:ascii="Arial" w:hAnsi="Arial" w:cs="Arial"/>
          <w:sz w:val="24"/>
          <w:szCs w:val="24"/>
          <w:bdr w:val="none" w:sz="0" w:space="0" w:color="auto" w:frame="1"/>
          <w:shd w:val="clear" w:color="auto" w:fill="FFFFFF"/>
          <w:lang w:val="en-US"/>
        </w:rPr>
        <w:t xml:space="preserve">). GABA: homeostatic and pharmacological aspects. </w:t>
      </w:r>
      <w:proofErr w:type="spellStart"/>
      <w:r w:rsidRPr="00EB6020">
        <w:rPr>
          <w:rStyle w:val="journaltitle"/>
          <w:rFonts w:ascii="Arial" w:hAnsi="Arial" w:cs="Arial"/>
          <w:i/>
          <w:iCs/>
          <w:sz w:val="24"/>
          <w:szCs w:val="24"/>
          <w:bdr w:val="none" w:sz="0" w:space="0" w:color="auto" w:frame="1"/>
          <w:lang w:val="en-US"/>
        </w:rPr>
        <w:t>Prog</w:t>
      </w:r>
      <w:proofErr w:type="spellEnd"/>
      <w:r w:rsidRPr="00EB6020">
        <w:rPr>
          <w:rStyle w:val="journaltitle"/>
          <w:rFonts w:ascii="Arial" w:hAnsi="Arial" w:cs="Arial"/>
          <w:i/>
          <w:iCs/>
          <w:sz w:val="24"/>
          <w:szCs w:val="24"/>
          <w:bdr w:val="none" w:sz="0" w:space="0" w:color="auto" w:frame="1"/>
          <w:lang w:val="en-US"/>
        </w:rPr>
        <w:t>. Brain Res.</w:t>
      </w:r>
      <w:r w:rsidRPr="00EB6020">
        <w:rPr>
          <w:rStyle w:val="CitaHTML"/>
          <w:rFonts w:ascii="Arial" w:hAnsi="Arial" w:cs="Arial"/>
          <w:sz w:val="24"/>
          <w:szCs w:val="24"/>
          <w:bdr w:val="none" w:sz="0" w:space="0" w:color="auto" w:frame="1"/>
          <w:shd w:val="clear" w:color="auto" w:fill="FFFFFF"/>
          <w:lang w:val="en-US"/>
        </w:rPr>
        <w:t>,</w:t>
      </w:r>
      <w:r w:rsidRPr="00EB6020">
        <w:rPr>
          <w:rStyle w:val="apple-converted-space"/>
          <w:rFonts w:ascii="Arial" w:hAnsi="Arial" w:cs="Arial"/>
          <w:sz w:val="24"/>
          <w:szCs w:val="24"/>
          <w:bdr w:val="none" w:sz="0" w:space="0" w:color="auto" w:frame="1"/>
          <w:shd w:val="clear" w:color="auto" w:fill="FFFFFF"/>
          <w:lang w:val="en-US"/>
        </w:rPr>
        <w:t> </w:t>
      </w:r>
      <w:r w:rsidRPr="00EB6020">
        <w:rPr>
          <w:rStyle w:val="vol"/>
          <w:rFonts w:ascii="Arial" w:hAnsi="Arial" w:cs="Arial"/>
          <w:bCs/>
          <w:sz w:val="24"/>
          <w:szCs w:val="24"/>
          <w:bdr w:val="none" w:sz="0" w:space="0" w:color="auto" w:frame="1"/>
          <w:lang w:val="en-US"/>
        </w:rPr>
        <w:t>160</w:t>
      </w:r>
      <w:r w:rsidRPr="00EB6020">
        <w:rPr>
          <w:rStyle w:val="CitaHTML"/>
          <w:rFonts w:ascii="Arial" w:hAnsi="Arial" w:cs="Arial"/>
          <w:sz w:val="24"/>
          <w:szCs w:val="24"/>
          <w:bdr w:val="none" w:sz="0" w:space="0" w:color="auto" w:frame="1"/>
          <w:shd w:val="clear" w:color="auto" w:fill="FFFFFF"/>
          <w:lang w:val="en-US"/>
        </w:rPr>
        <w:t>,</w:t>
      </w:r>
      <w:r w:rsidRPr="00EB6020">
        <w:rPr>
          <w:rStyle w:val="apple-converted-space"/>
          <w:rFonts w:ascii="Arial" w:hAnsi="Arial" w:cs="Arial"/>
          <w:sz w:val="24"/>
          <w:szCs w:val="24"/>
          <w:bdr w:val="none" w:sz="0" w:space="0" w:color="auto" w:frame="1"/>
          <w:shd w:val="clear" w:color="auto" w:fill="FFFFFF"/>
          <w:lang w:val="en-US"/>
        </w:rPr>
        <w:t> </w:t>
      </w:r>
      <w:r w:rsidRPr="00EB6020">
        <w:rPr>
          <w:rStyle w:val="pagefirst"/>
          <w:rFonts w:ascii="Arial" w:hAnsi="Arial" w:cs="Arial"/>
          <w:sz w:val="24"/>
          <w:szCs w:val="24"/>
          <w:bdr w:val="none" w:sz="0" w:space="0" w:color="auto" w:frame="1"/>
          <w:lang w:val="en-US"/>
        </w:rPr>
        <w:t>9</w:t>
      </w:r>
      <w:r w:rsidRPr="00EB6020">
        <w:rPr>
          <w:rStyle w:val="CitaHTML"/>
          <w:rFonts w:ascii="Arial" w:hAnsi="Arial" w:cs="Arial"/>
          <w:sz w:val="24"/>
          <w:szCs w:val="24"/>
          <w:bdr w:val="none" w:sz="0" w:space="0" w:color="auto" w:frame="1"/>
          <w:shd w:val="clear" w:color="auto" w:fill="FFFFFF"/>
          <w:lang w:val="en-US"/>
        </w:rPr>
        <w:t>–</w:t>
      </w:r>
      <w:r w:rsidRPr="00EB6020">
        <w:rPr>
          <w:rStyle w:val="pagelast"/>
          <w:rFonts w:ascii="Arial" w:hAnsi="Arial" w:cs="Arial"/>
          <w:sz w:val="24"/>
          <w:szCs w:val="24"/>
          <w:bdr w:val="none" w:sz="0" w:space="0" w:color="auto" w:frame="1"/>
          <w:lang w:val="en-US"/>
        </w:rPr>
        <w:t>19</w:t>
      </w:r>
      <w:r w:rsidRPr="00EB6020">
        <w:rPr>
          <w:rStyle w:val="CitaHTML"/>
          <w:rFonts w:ascii="Arial" w:hAnsi="Arial" w:cs="Arial"/>
          <w:sz w:val="24"/>
          <w:szCs w:val="24"/>
          <w:bdr w:val="none" w:sz="0" w:space="0" w:color="auto" w:frame="1"/>
          <w:shd w:val="clear" w:color="auto" w:fill="FFFFFF"/>
          <w:lang w:val="en-US"/>
        </w:rPr>
        <w:t xml:space="preserve">. </w:t>
      </w:r>
    </w:p>
    <w:p w:rsidR="0071496E" w:rsidRPr="00EB6020" w:rsidRDefault="0071496E" w:rsidP="00215EAE">
      <w:pPr>
        <w:pStyle w:val="Prrafodelista"/>
        <w:numPr>
          <w:ilvl w:val="0"/>
          <w:numId w:val="3"/>
        </w:numPr>
        <w:ind w:left="-284" w:firstLine="284"/>
        <w:jc w:val="both"/>
        <w:rPr>
          <w:rFonts w:ascii="Arial" w:hAnsi="Arial" w:cs="Arial"/>
          <w:sz w:val="24"/>
          <w:szCs w:val="24"/>
          <w:shd w:val="clear" w:color="auto" w:fill="FFFFFF"/>
          <w:lang w:val="en-US"/>
        </w:rPr>
      </w:pPr>
      <w:proofErr w:type="spellStart"/>
      <w:r w:rsidRPr="00EB6020">
        <w:rPr>
          <w:rFonts w:ascii="Arial" w:hAnsi="Arial" w:cs="Arial"/>
          <w:sz w:val="24"/>
          <w:szCs w:val="24"/>
        </w:rPr>
        <w:t>Watanabe</w:t>
      </w:r>
      <w:proofErr w:type="spellEnd"/>
      <w:r w:rsidRPr="00EB6020">
        <w:rPr>
          <w:rFonts w:ascii="Arial" w:hAnsi="Arial" w:cs="Arial"/>
          <w:sz w:val="24"/>
          <w:szCs w:val="24"/>
        </w:rPr>
        <w:t xml:space="preserve">, M., </w:t>
      </w:r>
      <w:proofErr w:type="spellStart"/>
      <w:r w:rsidRPr="00EB6020">
        <w:rPr>
          <w:rFonts w:ascii="Arial" w:hAnsi="Arial" w:cs="Arial"/>
          <w:sz w:val="24"/>
          <w:szCs w:val="24"/>
        </w:rPr>
        <w:t>Maemura</w:t>
      </w:r>
      <w:proofErr w:type="spellEnd"/>
      <w:r w:rsidRPr="00EB6020">
        <w:rPr>
          <w:rFonts w:ascii="Arial" w:hAnsi="Arial" w:cs="Arial"/>
          <w:sz w:val="24"/>
          <w:szCs w:val="24"/>
        </w:rPr>
        <w:t xml:space="preserve">, K., </w:t>
      </w:r>
      <w:proofErr w:type="spellStart"/>
      <w:r w:rsidRPr="00EB6020">
        <w:rPr>
          <w:rFonts w:ascii="Arial" w:hAnsi="Arial" w:cs="Arial"/>
          <w:sz w:val="24"/>
          <w:szCs w:val="24"/>
        </w:rPr>
        <w:t>Kanbara</w:t>
      </w:r>
      <w:proofErr w:type="spellEnd"/>
      <w:r w:rsidRPr="00EB6020">
        <w:rPr>
          <w:rFonts w:ascii="Arial" w:hAnsi="Arial" w:cs="Arial"/>
          <w:sz w:val="24"/>
          <w:szCs w:val="24"/>
        </w:rPr>
        <w:t xml:space="preserve">, K., </w:t>
      </w:r>
      <w:proofErr w:type="spellStart"/>
      <w:r w:rsidRPr="00EB6020">
        <w:rPr>
          <w:rFonts w:ascii="Arial" w:hAnsi="Arial" w:cs="Arial"/>
          <w:sz w:val="24"/>
          <w:szCs w:val="24"/>
        </w:rPr>
        <w:t>Tamayama</w:t>
      </w:r>
      <w:proofErr w:type="spellEnd"/>
      <w:r w:rsidRPr="00EB6020">
        <w:rPr>
          <w:rFonts w:ascii="Arial" w:hAnsi="Arial" w:cs="Arial"/>
          <w:sz w:val="24"/>
          <w:szCs w:val="24"/>
        </w:rPr>
        <w:t xml:space="preserve">, T., y </w:t>
      </w:r>
      <w:proofErr w:type="spellStart"/>
      <w:r w:rsidRPr="00EB6020">
        <w:rPr>
          <w:rFonts w:ascii="Arial" w:hAnsi="Arial" w:cs="Arial"/>
          <w:sz w:val="24"/>
          <w:szCs w:val="24"/>
        </w:rPr>
        <w:t>Hayasaki</w:t>
      </w:r>
      <w:proofErr w:type="spellEnd"/>
      <w:r w:rsidRPr="00EB6020">
        <w:rPr>
          <w:rFonts w:ascii="Arial" w:hAnsi="Arial" w:cs="Arial"/>
          <w:sz w:val="24"/>
          <w:szCs w:val="24"/>
        </w:rPr>
        <w:t xml:space="preserve">, H. (2002). </w:t>
      </w:r>
      <w:r w:rsidRPr="00EB6020">
        <w:rPr>
          <w:rFonts w:ascii="Arial" w:hAnsi="Arial" w:cs="Arial"/>
          <w:sz w:val="24"/>
          <w:szCs w:val="24"/>
          <w:lang w:val="en-US"/>
        </w:rPr>
        <w:t xml:space="preserve">GABA and GABA receptors in the central nervous system and other organs. </w:t>
      </w:r>
      <w:r w:rsidRPr="00EB6020">
        <w:rPr>
          <w:rFonts w:ascii="Arial" w:hAnsi="Arial" w:cs="Arial"/>
          <w:i/>
          <w:sz w:val="24"/>
          <w:szCs w:val="24"/>
          <w:lang w:val="en-US"/>
        </w:rPr>
        <w:t xml:space="preserve">Int. Rev. </w:t>
      </w:r>
      <w:proofErr w:type="spellStart"/>
      <w:r w:rsidRPr="00EB6020">
        <w:rPr>
          <w:rFonts w:ascii="Arial" w:hAnsi="Arial" w:cs="Arial"/>
          <w:i/>
          <w:sz w:val="24"/>
          <w:szCs w:val="24"/>
          <w:lang w:val="en-US"/>
        </w:rPr>
        <w:t>Cytol</w:t>
      </w:r>
      <w:proofErr w:type="spellEnd"/>
      <w:r w:rsidRPr="00EB6020">
        <w:rPr>
          <w:rFonts w:ascii="Arial" w:hAnsi="Arial" w:cs="Arial"/>
          <w:i/>
          <w:sz w:val="24"/>
          <w:szCs w:val="24"/>
          <w:lang w:val="en-US"/>
        </w:rPr>
        <w:t>.</w:t>
      </w:r>
      <w:r w:rsidRPr="00EB6020">
        <w:rPr>
          <w:rFonts w:ascii="Arial" w:hAnsi="Arial" w:cs="Arial"/>
          <w:sz w:val="24"/>
          <w:szCs w:val="24"/>
          <w:lang w:val="en-US"/>
        </w:rPr>
        <w:t xml:space="preserve"> </w:t>
      </w:r>
      <w:r w:rsidRPr="00EB6020">
        <w:rPr>
          <w:rStyle w:val="ff8"/>
          <w:rFonts w:ascii="Arial" w:hAnsi="Arial" w:cs="Arial"/>
          <w:sz w:val="24"/>
          <w:szCs w:val="24"/>
          <w:lang w:val="en-US"/>
        </w:rPr>
        <w:t>213</w:t>
      </w:r>
      <w:r w:rsidRPr="00EB6020">
        <w:rPr>
          <w:rFonts w:ascii="Arial" w:hAnsi="Arial" w:cs="Arial"/>
          <w:sz w:val="24"/>
          <w:szCs w:val="24"/>
          <w:lang w:val="en-US"/>
        </w:rPr>
        <w:t>, 1–47.</w:t>
      </w:r>
    </w:p>
    <w:p w:rsidR="0071496E" w:rsidRPr="00EB6020" w:rsidRDefault="0071496E" w:rsidP="00215EAE">
      <w:pPr>
        <w:pStyle w:val="Prrafodelista"/>
        <w:numPr>
          <w:ilvl w:val="0"/>
          <w:numId w:val="3"/>
        </w:numPr>
        <w:ind w:left="-284" w:firstLine="284"/>
        <w:jc w:val="both"/>
        <w:rPr>
          <w:rStyle w:val="apple-converted-space"/>
          <w:rFonts w:ascii="Arial" w:hAnsi="Arial" w:cs="Arial"/>
          <w:sz w:val="24"/>
          <w:szCs w:val="24"/>
          <w:shd w:val="clear" w:color="auto" w:fill="FFFFFF"/>
          <w:lang w:val="en-US"/>
        </w:rPr>
      </w:pPr>
      <w:proofErr w:type="spellStart"/>
      <w:r w:rsidRPr="00EB6020">
        <w:rPr>
          <w:rFonts w:ascii="Arial" w:hAnsi="Arial" w:cs="Arial"/>
          <w:sz w:val="24"/>
          <w:szCs w:val="24"/>
          <w:lang w:val="en-US"/>
        </w:rPr>
        <w:t>Gasbarri</w:t>
      </w:r>
      <w:proofErr w:type="spellEnd"/>
      <w:r w:rsidRPr="00EB6020">
        <w:rPr>
          <w:rFonts w:ascii="Arial" w:hAnsi="Arial" w:cs="Arial"/>
          <w:sz w:val="24"/>
          <w:szCs w:val="24"/>
          <w:lang w:val="en-US"/>
        </w:rPr>
        <w:t xml:space="preserve">, A., </w:t>
      </w:r>
      <w:proofErr w:type="spellStart"/>
      <w:r w:rsidRPr="00EB6020">
        <w:rPr>
          <w:rFonts w:ascii="Arial" w:hAnsi="Arial" w:cs="Arial"/>
          <w:sz w:val="24"/>
          <w:szCs w:val="24"/>
          <w:lang w:val="en-US"/>
        </w:rPr>
        <w:t>Pompili</w:t>
      </w:r>
      <w:proofErr w:type="spellEnd"/>
      <w:r w:rsidRPr="00EB6020">
        <w:rPr>
          <w:rFonts w:ascii="Arial" w:hAnsi="Arial" w:cs="Arial"/>
          <w:sz w:val="24"/>
          <w:szCs w:val="24"/>
          <w:lang w:val="en-US"/>
        </w:rPr>
        <w:t>, A. (2014). 3-</w:t>
      </w:r>
      <w:r w:rsidRPr="00EB6020">
        <w:rPr>
          <w:rFonts w:ascii="Arial" w:eastAsia="Times New Roman" w:hAnsi="Arial" w:cs="Arial"/>
          <w:sz w:val="24"/>
          <w:szCs w:val="24"/>
          <w:lang w:val="en-US"/>
        </w:rPr>
        <w:t xml:space="preserve">The Role of GABA in Memory Processes. </w:t>
      </w:r>
      <w:r w:rsidRPr="00EB6020">
        <w:rPr>
          <w:rFonts w:ascii="Arial" w:hAnsi="Arial" w:cs="Arial"/>
          <w:color w:val="000000"/>
          <w:sz w:val="24"/>
          <w:szCs w:val="24"/>
          <w:lang w:val="en-US"/>
        </w:rPr>
        <w:t xml:space="preserve">Identification of Neural Markers Accompanying Memory. </w:t>
      </w:r>
      <w:proofErr w:type="spellStart"/>
      <w:r w:rsidRPr="00EB6020">
        <w:rPr>
          <w:rFonts w:ascii="Arial" w:hAnsi="Arial" w:cs="Arial"/>
          <w:color w:val="000000"/>
          <w:sz w:val="24"/>
          <w:szCs w:val="24"/>
          <w:lang w:val="en-US"/>
        </w:rPr>
        <w:t>Meneses</w:t>
      </w:r>
      <w:proofErr w:type="spellEnd"/>
      <w:r w:rsidRPr="00EB6020">
        <w:rPr>
          <w:rFonts w:ascii="Arial" w:hAnsi="Arial" w:cs="Arial"/>
          <w:color w:val="000000"/>
          <w:sz w:val="24"/>
          <w:szCs w:val="24"/>
          <w:lang w:val="en-US"/>
        </w:rPr>
        <w:t>, A</w:t>
      </w:r>
      <w:proofErr w:type="gramStart"/>
      <w:r w:rsidRPr="00EB6020">
        <w:rPr>
          <w:rFonts w:ascii="Arial" w:hAnsi="Arial" w:cs="Arial"/>
          <w:color w:val="000000"/>
          <w:sz w:val="24"/>
          <w:szCs w:val="24"/>
          <w:lang w:val="en-US"/>
        </w:rPr>
        <w:t>.(</w:t>
      </w:r>
      <w:proofErr w:type="gramEnd"/>
      <w:r w:rsidRPr="00EB6020">
        <w:rPr>
          <w:rFonts w:ascii="Arial" w:hAnsi="Arial" w:cs="Arial"/>
          <w:color w:val="000000"/>
          <w:sz w:val="24"/>
          <w:szCs w:val="24"/>
          <w:lang w:val="en-US"/>
        </w:rPr>
        <w:t>Ed). Elsevier, San Diego, 47-62</w:t>
      </w:r>
      <w:r w:rsidRPr="00EB6020">
        <w:rPr>
          <w:rFonts w:ascii="Arial" w:hAnsi="Arial" w:cs="Arial"/>
          <w:sz w:val="24"/>
          <w:szCs w:val="24"/>
          <w:shd w:val="clear" w:color="auto" w:fill="FFFFFF"/>
          <w:lang w:val="en-US"/>
        </w:rPr>
        <w:t>–239</w:t>
      </w:r>
      <w:r w:rsidRPr="00EB6020">
        <w:rPr>
          <w:rStyle w:val="apple-converted-space"/>
          <w:rFonts w:ascii="Arial" w:hAnsi="Arial" w:cs="Arial"/>
          <w:sz w:val="24"/>
          <w:szCs w:val="24"/>
          <w:shd w:val="clear" w:color="auto" w:fill="FFFFFF"/>
          <w:lang w:val="en-US"/>
        </w:rPr>
        <w:t> </w:t>
      </w:r>
    </w:p>
    <w:p w:rsidR="0071496E" w:rsidRPr="00EB6020" w:rsidRDefault="0071496E" w:rsidP="00215EAE">
      <w:pPr>
        <w:pStyle w:val="Prrafodelista"/>
        <w:numPr>
          <w:ilvl w:val="0"/>
          <w:numId w:val="3"/>
        </w:numPr>
        <w:ind w:left="-284" w:firstLine="284"/>
        <w:jc w:val="both"/>
        <w:rPr>
          <w:rFonts w:ascii="Arial" w:hAnsi="Arial" w:cs="Arial"/>
          <w:sz w:val="24"/>
          <w:szCs w:val="24"/>
        </w:rPr>
      </w:pPr>
      <w:r w:rsidRPr="00EB6020">
        <w:rPr>
          <w:rFonts w:ascii="Arial" w:hAnsi="Arial" w:cs="Arial"/>
          <w:sz w:val="24"/>
          <w:szCs w:val="24"/>
        </w:rPr>
        <w:t xml:space="preserve">Javier A.M., Sánchez G. y Martínez de Muñoz. (1996). Espectro de acción antiepiléptica de la DL-4-hidroxi, 4-etil, 4-fenil </w:t>
      </w:r>
      <w:proofErr w:type="spellStart"/>
      <w:r w:rsidRPr="00EB6020">
        <w:rPr>
          <w:rFonts w:ascii="Arial" w:hAnsi="Arial" w:cs="Arial"/>
          <w:sz w:val="24"/>
          <w:szCs w:val="24"/>
        </w:rPr>
        <w:t>butiramida</w:t>
      </w:r>
      <w:proofErr w:type="spellEnd"/>
      <w:r w:rsidRPr="00EB6020">
        <w:rPr>
          <w:rFonts w:ascii="Arial" w:hAnsi="Arial" w:cs="Arial"/>
          <w:sz w:val="24"/>
          <w:szCs w:val="24"/>
        </w:rPr>
        <w:t xml:space="preserve"> y de sus homólogos inferiores. </w:t>
      </w:r>
      <w:proofErr w:type="spellStart"/>
      <w:r w:rsidRPr="00EB6020">
        <w:rPr>
          <w:rFonts w:ascii="Arial" w:hAnsi="Arial" w:cs="Arial"/>
          <w:i/>
          <w:sz w:val="24"/>
          <w:szCs w:val="24"/>
        </w:rPr>
        <w:t>Arch</w:t>
      </w:r>
      <w:proofErr w:type="spellEnd"/>
      <w:r w:rsidRPr="00EB6020">
        <w:rPr>
          <w:rFonts w:ascii="Arial" w:hAnsi="Arial" w:cs="Arial"/>
          <w:i/>
          <w:sz w:val="24"/>
          <w:szCs w:val="24"/>
        </w:rPr>
        <w:t xml:space="preserve"> </w:t>
      </w:r>
      <w:proofErr w:type="spellStart"/>
      <w:r w:rsidRPr="00EB6020">
        <w:rPr>
          <w:rFonts w:ascii="Arial" w:hAnsi="Arial" w:cs="Arial"/>
          <w:i/>
          <w:sz w:val="24"/>
          <w:szCs w:val="24"/>
        </w:rPr>
        <w:t>Neurocien</w:t>
      </w:r>
      <w:proofErr w:type="spellEnd"/>
      <w:r w:rsidRPr="00EB6020">
        <w:rPr>
          <w:rFonts w:ascii="Arial" w:hAnsi="Arial" w:cs="Arial"/>
          <w:sz w:val="24"/>
          <w:szCs w:val="24"/>
        </w:rPr>
        <w:t xml:space="preserve"> (</w:t>
      </w:r>
      <w:proofErr w:type="spellStart"/>
      <w:r w:rsidRPr="00EB6020">
        <w:rPr>
          <w:rFonts w:ascii="Arial" w:hAnsi="Arial" w:cs="Arial"/>
          <w:sz w:val="24"/>
          <w:szCs w:val="24"/>
        </w:rPr>
        <w:t>Méx</w:t>
      </w:r>
      <w:proofErr w:type="spellEnd"/>
      <w:r w:rsidRPr="00EB6020">
        <w:rPr>
          <w:rFonts w:ascii="Arial" w:hAnsi="Arial" w:cs="Arial"/>
          <w:sz w:val="24"/>
          <w:szCs w:val="24"/>
        </w:rPr>
        <w:t>). 1:76-80.</w:t>
      </w:r>
    </w:p>
    <w:p w:rsidR="0071496E" w:rsidRPr="00EB6020" w:rsidRDefault="0071496E" w:rsidP="00215EAE">
      <w:pPr>
        <w:pStyle w:val="Prrafodelista"/>
        <w:numPr>
          <w:ilvl w:val="0"/>
          <w:numId w:val="3"/>
        </w:numPr>
        <w:ind w:left="-284" w:firstLine="284"/>
        <w:jc w:val="both"/>
        <w:rPr>
          <w:rFonts w:ascii="Arial" w:hAnsi="Arial" w:cs="Arial"/>
          <w:sz w:val="24"/>
          <w:szCs w:val="24"/>
        </w:rPr>
      </w:pPr>
      <w:proofErr w:type="spellStart"/>
      <w:r w:rsidRPr="00EB6020">
        <w:rPr>
          <w:rFonts w:ascii="Arial" w:hAnsi="Arial" w:cs="Arial"/>
          <w:sz w:val="24"/>
          <w:szCs w:val="24"/>
          <w:lang w:val="en-US"/>
        </w:rPr>
        <w:t>Carvajal</w:t>
      </w:r>
      <w:proofErr w:type="spellEnd"/>
      <w:r w:rsidRPr="00EB6020">
        <w:rPr>
          <w:rFonts w:ascii="Arial" w:hAnsi="Arial" w:cs="Arial"/>
          <w:sz w:val="24"/>
          <w:szCs w:val="24"/>
          <w:lang w:val="en-US"/>
        </w:rPr>
        <w:t xml:space="preserve">, G., </w:t>
      </w:r>
      <w:proofErr w:type="spellStart"/>
      <w:r w:rsidRPr="00EB6020">
        <w:rPr>
          <w:rFonts w:ascii="Arial" w:hAnsi="Arial" w:cs="Arial"/>
          <w:sz w:val="24"/>
          <w:szCs w:val="24"/>
          <w:lang w:val="en-US"/>
        </w:rPr>
        <w:t>Russek</w:t>
      </w:r>
      <w:proofErr w:type="spellEnd"/>
      <w:r w:rsidRPr="00EB6020">
        <w:rPr>
          <w:rFonts w:ascii="Arial" w:hAnsi="Arial" w:cs="Arial"/>
          <w:sz w:val="24"/>
          <w:szCs w:val="24"/>
          <w:lang w:val="en-US"/>
        </w:rPr>
        <w:t xml:space="preserve">, M., Tapia, R. y </w:t>
      </w:r>
      <w:proofErr w:type="spellStart"/>
      <w:r w:rsidRPr="00EB6020">
        <w:rPr>
          <w:rFonts w:ascii="Arial" w:hAnsi="Arial" w:cs="Arial"/>
          <w:sz w:val="24"/>
          <w:szCs w:val="24"/>
          <w:lang w:val="en-US"/>
        </w:rPr>
        <w:t>Massieu</w:t>
      </w:r>
      <w:proofErr w:type="spellEnd"/>
      <w:r w:rsidRPr="00EB6020">
        <w:rPr>
          <w:rFonts w:ascii="Arial" w:hAnsi="Arial" w:cs="Arial"/>
          <w:sz w:val="24"/>
          <w:szCs w:val="24"/>
          <w:lang w:val="en-US"/>
        </w:rPr>
        <w:t>, G. (1964). Anticonvulsive action of substances designed as inhibitors of γ-</w:t>
      </w:r>
      <w:proofErr w:type="spellStart"/>
      <w:r w:rsidRPr="00EB6020">
        <w:rPr>
          <w:rFonts w:ascii="Arial" w:hAnsi="Arial" w:cs="Arial"/>
          <w:sz w:val="24"/>
          <w:szCs w:val="24"/>
          <w:lang w:val="en-US"/>
        </w:rPr>
        <w:t>aminobutyric</w:t>
      </w:r>
      <w:proofErr w:type="spellEnd"/>
      <w:r w:rsidRPr="00EB6020">
        <w:rPr>
          <w:rFonts w:ascii="Arial" w:hAnsi="Arial" w:cs="Arial"/>
          <w:sz w:val="24"/>
          <w:szCs w:val="24"/>
          <w:lang w:val="en-US"/>
        </w:rPr>
        <w:t>-α-</w:t>
      </w:r>
      <w:proofErr w:type="spellStart"/>
      <w:r w:rsidRPr="00EB6020">
        <w:rPr>
          <w:rFonts w:ascii="Arial" w:hAnsi="Arial" w:cs="Arial"/>
          <w:sz w:val="24"/>
          <w:szCs w:val="24"/>
          <w:lang w:val="en-US"/>
        </w:rPr>
        <w:t>ketoglutaric</w:t>
      </w:r>
      <w:proofErr w:type="spellEnd"/>
      <w:r w:rsidRPr="00EB6020">
        <w:rPr>
          <w:rFonts w:ascii="Arial" w:hAnsi="Arial" w:cs="Arial"/>
          <w:sz w:val="24"/>
          <w:szCs w:val="24"/>
          <w:lang w:val="en-US"/>
        </w:rPr>
        <w:t xml:space="preserve"> transaminase. </w:t>
      </w:r>
      <w:proofErr w:type="spellStart"/>
      <w:r w:rsidRPr="00EB6020">
        <w:rPr>
          <w:rFonts w:ascii="Arial" w:hAnsi="Arial" w:cs="Arial"/>
          <w:i/>
          <w:sz w:val="24"/>
          <w:szCs w:val="24"/>
        </w:rPr>
        <w:t>Biochem</w:t>
      </w:r>
      <w:proofErr w:type="spellEnd"/>
      <w:r w:rsidRPr="00EB6020">
        <w:rPr>
          <w:rFonts w:ascii="Arial" w:hAnsi="Arial" w:cs="Arial"/>
          <w:i/>
          <w:sz w:val="24"/>
          <w:szCs w:val="24"/>
        </w:rPr>
        <w:t xml:space="preserve">. </w:t>
      </w:r>
      <w:proofErr w:type="spellStart"/>
      <w:r w:rsidRPr="00EB6020">
        <w:rPr>
          <w:rFonts w:ascii="Arial" w:hAnsi="Arial" w:cs="Arial"/>
          <w:i/>
          <w:sz w:val="24"/>
          <w:szCs w:val="24"/>
        </w:rPr>
        <w:t>Pharmacol</w:t>
      </w:r>
      <w:proofErr w:type="spellEnd"/>
      <w:r w:rsidRPr="00EB6020">
        <w:rPr>
          <w:rFonts w:ascii="Arial" w:hAnsi="Arial" w:cs="Arial"/>
          <w:i/>
          <w:sz w:val="24"/>
          <w:szCs w:val="24"/>
        </w:rPr>
        <w:t>.,</w:t>
      </w:r>
      <w:r w:rsidRPr="00EB6020">
        <w:rPr>
          <w:rFonts w:ascii="Arial" w:hAnsi="Arial" w:cs="Arial"/>
          <w:sz w:val="24"/>
          <w:szCs w:val="24"/>
        </w:rPr>
        <w:t xml:space="preserve"> 13:1059-1069.</w:t>
      </w:r>
    </w:p>
    <w:p w:rsidR="0071496E" w:rsidRPr="00EB6020" w:rsidRDefault="0071496E" w:rsidP="00215EAE">
      <w:pPr>
        <w:pStyle w:val="Prrafodelista"/>
        <w:numPr>
          <w:ilvl w:val="0"/>
          <w:numId w:val="3"/>
        </w:numPr>
        <w:ind w:left="-284" w:firstLine="284"/>
        <w:jc w:val="both"/>
        <w:rPr>
          <w:rFonts w:ascii="Arial" w:hAnsi="Arial" w:cs="Arial"/>
          <w:sz w:val="24"/>
          <w:szCs w:val="24"/>
          <w:lang w:val="en-US"/>
        </w:rPr>
      </w:pPr>
      <w:proofErr w:type="spellStart"/>
      <w:r w:rsidRPr="00EB6020">
        <w:rPr>
          <w:rFonts w:ascii="Arial" w:hAnsi="Arial" w:cs="Arial"/>
          <w:sz w:val="24"/>
          <w:szCs w:val="24"/>
        </w:rPr>
        <w:lastRenderedPageBreak/>
        <w:t>Brailowsky</w:t>
      </w:r>
      <w:proofErr w:type="spellEnd"/>
      <w:r w:rsidRPr="00EB6020">
        <w:rPr>
          <w:rFonts w:ascii="Arial" w:hAnsi="Arial" w:cs="Arial"/>
          <w:sz w:val="24"/>
          <w:szCs w:val="24"/>
        </w:rPr>
        <w:t>, S. y Montiel, T. (1996). Efectos de la DL-</w:t>
      </w:r>
      <w:proofErr w:type="spellStart"/>
      <w:r w:rsidRPr="00EB6020">
        <w:rPr>
          <w:rFonts w:ascii="Arial" w:hAnsi="Arial" w:cs="Arial"/>
          <w:sz w:val="24"/>
          <w:szCs w:val="24"/>
        </w:rPr>
        <w:t>hidroxi</w:t>
      </w:r>
      <w:proofErr w:type="spellEnd"/>
      <w:r w:rsidRPr="00EB6020">
        <w:rPr>
          <w:rFonts w:ascii="Arial" w:hAnsi="Arial" w:cs="Arial"/>
          <w:sz w:val="24"/>
          <w:szCs w:val="24"/>
        </w:rPr>
        <w:t xml:space="preserve">, 3-etil, 3-fenil </w:t>
      </w:r>
      <w:proofErr w:type="spellStart"/>
      <w:r w:rsidRPr="00EB6020">
        <w:rPr>
          <w:rFonts w:ascii="Arial" w:hAnsi="Arial" w:cs="Arial"/>
          <w:sz w:val="24"/>
          <w:szCs w:val="24"/>
        </w:rPr>
        <w:t>propionamida</w:t>
      </w:r>
      <w:proofErr w:type="spellEnd"/>
      <w:r w:rsidRPr="00EB6020">
        <w:rPr>
          <w:rFonts w:ascii="Arial" w:hAnsi="Arial" w:cs="Arial"/>
          <w:sz w:val="24"/>
          <w:szCs w:val="24"/>
        </w:rPr>
        <w:t xml:space="preserve"> (HEPP) sobre un nuevo modelo de status </w:t>
      </w:r>
      <w:proofErr w:type="spellStart"/>
      <w:r w:rsidRPr="00EB6020">
        <w:rPr>
          <w:rFonts w:ascii="Arial" w:hAnsi="Arial" w:cs="Arial"/>
          <w:sz w:val="24"/>
          <w:szCs w:val="24"/>
        </w:rPr>
        <w:t>epilepticus</w:t>
      </w:r>
      <w:proofErr w:type="spellEnd"/>
      <w:r w:rsidRPr="00EB6020">
        <w:rPr>
          <w:rFonts w:ascii="Arial" w:hAnsi="Arial" w:cs="Arial"/>
          <w:sz w:val="24"/>
          <w:szCs w:val="24"/>
        </w:rPr>
        <w:t xml:space="preserve"> focal: el síndrome de abstinencia al GABA (SAG). </w:t>
      </w:r>
      <w:r w:rsidRPr="00EB6020">
        <w:rPr>
          <w:rFonts w:ascii="Arial" w:hAnsi="Arial" w:cs="Arial"/>
          <w:i/>
          <w:sz w:val="24"/>
          <w:szCs w:val="24"/>
          <w:lang w:val="en-US"/>
        </w:rPr>
        <w:t xml:space="preserve">Arch </w:t>
      </w:r>
      <w:proofErr w:type="spellStart"/>
      <w:r w:rsidRPr="00EB6020">
        <w:rPr>
          <w:rFonts w:ascii="Arial" w:hAnsi="Arial" w:cs="Arial"/>
          <w:i/>
          <w:sz w:val="24"/>
          <w:szCs w:val="24"/>
          <w:lang w:val="en-US"/>
        </w:rPr>
        <w:t>Neurocien</w:t>
      </w:r>
      <w:proofErr w:type="spellEnd"/>
      <w:r w:rsidRPr="00EB6020">
        <w:rPr>
          <w:rFonts w:ascii="Arial" w:hAnsi="Arial" w:cs="Arial"/>
          <w:sz w:val="24"/>
          <w:szCs w:val="24"/>
          <w:lang w:val="en-US"/>
        </w:rPr>
        <w:t>. 2:104-107.</w:t>
      </w:r>
    </w:p>
    <w:p w:rsidR="0071496E" w:rsidRPr="003D2DAD" w:rsidRDefault="0071496E" w:rsidP="00215EAE">
      <w:pPr>
        <w:pStyle w:val="HTMLconformatoprevio"/>
        <w:spacing w:line="360" w:lineRule="auto"/>
        <w:ind w:left="-284" w:firstLine="284"/>
        <w:jc w:val="both"/>
        <w:rPr>
          <w:rFonts w:ascii="Arial" w:hAnsi="Arial" w:cs="Arial"/>
          <w:color w:val="000000"/>
          <w:sz w:val="22"/>
          <w:szCs w:val="22"/>
          <w:lang w:val="en-US"/>
        </w:rPr>
      </w:pPr>
    </w:p>
    <w:p w:rsidR="00DF55D7" w:rsidRDefault="00DF55D7" w:rsidP="00215EAE">
      <w:pPr>
        <w:ind w:left="-284" w:firstLine="284"/>
        <w:jc w:val="both"/>
      </w:pPr>
    </w:p>
    <w:sectPr w:rsidR="00DF55D7" w:rsidSect="00340F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82C48"/>
    <w:multiLevelType w:val="hybridMultilevel"/>
    <w:tmpl w:val="168EB1EE"/>
    <w:lvl w:ilvl="0" w:tplc="53DEF3BE">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700193"/>
    <w:multiLevelType w:val="hybridMultilevel"/>
    <w:tmpl w:val="4B92A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E21318"/>
    <w:multiLevelType w:val="hybridMultilevel"/>
    <w:tmpl w:val="59429916"/>
    <w:lvl w:ilvl="0" w:tplc="53DEF3BE">
      <w:start w:val="1"/>
      <w:numFmt w:val="bullet"/>
      <w:lvlText w:val="•"/>
      <w:lvlJc w:val="left"/>
      <w:pPr>
        <w:tabs>
          <w:tab w:val="num" w:pos="720"/>
        </w:tabs>
        <w:ind w:left="720" w:hanging="360"/>
      </w:pPr>
      <w:rPr>
        <w:rFonts w:ascii="Arial" w:hAnsi="Arial" w:hint="default"/>
      </w:rPr>
    </w:lvl>
    <w:lvl w:ilvl="1" w:tplc="5FAA8C72" w:tentative="1">
      <w:start w:val="1"/>
      <w:numFmt w:val="bullet"/>
      <w:lvlText w:val="•"/>
      <w:lvlJc w:val="left"/>
      <w:pPr>
        <w:tabs>
          <w:tab w:val="num" w:pos="1440"/>
        </w:tabs>
        <w:ind w:left="1440" w:hanging="360"/>
      </w:pPr>
      <w:rPr>
        <w:rFonts w:ascii="Arial" w:hAnsi="Arial" w:hint="default"/>
      </w:rPr>
    </w:lvl>
    <w:lvl w:ilvl="2" w:tplc="745EB4F6" w:tentative="1">
      <w:start w:val="1"/>
      <w:numFmt w:val="bullet"/>
      <w:lvlText w:val="•"/>
      <w:lvlJc w:val="left"/>
      <w:pPr>
        <w:tabs>
          <w:tab w:val="num" w:pos="2160"/>
        </w:tabs>
        <w:ind w:left="2160" w:hanging="360"/>
      </w:pPr>
      <w:rPr>
        <w:rFonts w:ascii="Arial" w:hAnsi="Arial" w:hint="default"/>
      </w:rPr>
    </w:lvl>
    <w:lvl w:ilvl="3" w:tplc="CA06E7E8" w:tentative="1">
      <w:start w:val="1"/>
      <w:numFmt w:val="bullet"/>
      <w:lvlText w:val="•"/>
      <w:lvlJc w:val="left"/>
      <w:pPr>
        <w:tabs>
          <w:tab w:val="num" w:pos="2880"/>
        </w:tabs>
        <w:ind w:left="2880" w:hanging="360"/>
      </w:pPr>
      <w:rPr>
        <w:rFonts w:ascii="Arial" w:hAnsi="Arial" w:hint="default"/>
      </w:rPr>
    </w:lvl>
    <w:lvl w:ilvl="4" w:tplc="3392E2F8" w:tentative="1">
      <w:start w:val="1"/>
      <w:numFmt w:val="bullet"/>
      <w:lvlText w:val="•"/>
      <w:lvlJc w:val="left"/>
      <w:pPr>
        <w:tabs>
          <w:tab w:val="num" w:pos="3600"/>
        </w:tabs>
        <w:ind w:left="3600" w:hanging="360"/>
      </w:pPr>
      <w:rPr>
        <w:rFonts w:ascii="Arial" w:hAnsi="Arial" w:hint="default"/>
      </w:rPr>
    </w:lvl>
    <w:lvl w:ilvl="5" w:tplc="E7D0A336" w:tentative="1">
      <w:start w:val="1"/>
      <w:numFmt w:val="bullet"/>
      <w:lvlText w:val="•"/>
      <w:lvlJc w:val="left"/>
      <w:pPr>
        <w:tabs>
          <w:tab w:val="num" w:pos="4320"/>
        </w:tabs>
        <w:ind w:left="4320" w:hanging="360"/>
      </w:pPr>
      <w:rPr>
        <w:rFonts w:ascii="Arial" w:hAnsi="Arial" w:hint="default"/>
      </w:rPr>
    </w:lvl>
    <w:lvl w:ilvl="6" w:tplc="C6040F7E" w:tentative="1">
      <w:start w:val="1"/>
      <w:numFmt w:val="bullet"/>
      <w:lvlText w:val="•"/>
      <w:lvlJc w:val="left"/>
      <w:pPr>
        <w:tabs>
          <w:tab w:val="num" w:pos="5040"/>
        </w:tabs>
        <w:ind w:left="5040" w:hanging="360"/>
      </w:pPr>
      <w:rPr>
        <w:rFonts w:ascii="Arial" w:hAnsi="Arial" w:hint="default"/>
      </w:rPr>
    </w:lvl>
    <w:lvl w:ilvl="7" w:tplc="CFF80206" w:tentative="1">
      <w:start w:val="1"/>
      <w:numFmt w:val="bullet"/>
      <w:lvlText w:val="•"/>
      <w:lvlJc w:val="left"/>
      <w:pPr>
        <w:tabs>
          <w:tab w:val="num" w:pos="5760"/>
        </w:tabs>
        <w:ind w:left="5760" w:hanging="360"/>
      </w:pPr>
      <w:rPr>
        <w:rFonts w:ascii="Arial" w:hAnsi="Arial" w:hint="default"/>
      </w:rPr>
    </w:lvl>
    <w:lvl w:ilvl="8" w:tplc="E318CA88" w:tentative="1">
      <w:start w:val="1"/>
      <w:numFmt w:val="bullet"/>
      <w:lvlText w:val="•"/>
      <w:lvlJc w:val="left"/>
      <w:pPr>
        <w:tabs>
          <w:tab w:val="num" w:pos="6480"/>
        </w:tabs>
        <w:ind w:left="6480" w:hanging="360"/>
      </w:pPr>
      <w:rPr>
        <w:rFonts w:ascii="Arial" w:hAnsi="Arial" w:hint="default"/>
      </w:rPr>
    </w:lvl>
  </w:abstractNum>
  <w:abstractNum w:abstractNumId="3">
    <w:nsid w:val="40651B9B"/>
    <w:multiLevelType w:val="hybridMultilevel"/>
    <w:tmpl w:val="704ECF0E"/>
    <w:lvl w:ilvl="0" w:tplc="53DEF3BE">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EA17379"/>
    <w:multiLevelType w:val="hybridMultilevel"/>
    <w:tmpl w:val="68CA8B1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F8022D"/>
    <w:rsid w:val="0017320B"/>
    <w:rsid w:val="00215EAE"/>
    <w:rsid w:val="002C5132"/>
    <w:rsid w:val="002D1968"/>
    <w:rsid w:val="00340F5A"/>
    <w:rsid w:val="003E0846"/>
    <w:rsid w:val="004A3BFD"/>
    <w:rsid w:val="004E0B0A"/>
    <w:rsid w:val="0050140C"/>
    <w:rsid w:val="00541694"/>
    <w:rsid w:val="00544CF3"/>
    <w:rsid w:val="0056245D"/>
    <w:rsid w:val="005B37CC"/>
    <w:rsid w:val="005F51C5"/>
    <w:rsid w:val="00634BC9"/>
    <w:rsid w:val="0071496E"/>
    <w:rsid w:val="008461DF"/>
    <w:rsid w:val="00873C7A"/>
    <w:rsid w:val="00886286"/>
    <w:rsid w:val="009865CF"/>
    <w:rsid w:val="009C5E44"/>
    <w:rsid w:val="00A31DE7"/>
    <w:rsid w:val="00AA6F03"/>
    <w:rsid w:val="00AD70C7"/>
    <w:rsid w:val="00B10458"/>
    <w:rsid w:val="00B25546"/>
    <w:rsid w:val="00B701B5"/>
    <w:rsid w:val="00C04C60"/>
    <w:rsid w:val="00D42705"/>
    <w:rsid w:val="00DF55D7"/>
    <w:rsid w:val="00E16DFA"/>
    <w:rsid w:val="00E17813"/>
    <w:rsid w:val="00EB6020"/>
    <w:rsid w:val="00F802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81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6F03"/>
    <w:pPr>
      <w:ind w:left="720"/>
      <w:contextualSpacing/>
    </w:pPr>
  </w:style>
  <w:style w:type="paragraph" w:styleId="Textodeglobo">
    <w:name w:val="Balloon Text"/>
    <w:basedOn w:val="Normal"/>
    <w:link w:val="TextodegloboCar"/>
    <w:uiPriority w:val="99"/>
    <w:semiHidden/>
    <w:unhideWhenUsed/>
    <w:rsid w:val="00873C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C7A"/>
    <w:rPr>
      <w:rFonts w:ascii="Tahoma" w:hAnsi="Tahoma" w:cs="Tahoma"/>
      <w:sz w:val="16"/>
      <w:szCs w:val="16"/>
    </w:rPr>
  </w:style>
  <w:style w:type="character" w:customStyle="1" w:styleId="apple-converted-space">
    <w:name w:val="apple-converted-space"/>
    <w:basedOn w:val="Fuentedeprrafopredeter"/>
    <w:rsid w:val="00B10458"/>
  </w:style>
  <w:style w:type="character" w:styleId="CitaHTML">
    <w:name w:val="HTML Cite"/>
    <w:basedOn w:val="Fuentedeprrafopredeter"/>
    <w:uiPriority w:val="99"/>
    <w:semiHidden/>
    <w:unhideWhenUsed/>
    <w:rsid w:val="00B10458"/>
    <w:rPr>
      <w:i/>
      <w:iCs/>
    </w:rPr>
  </w:style>
  <w:style w:type="character" w:customStyle="1" w:styleId="author">
    <w:name w:val="author"/>
    <w:basedOn w:val="Fuentedeprrafopredeter"/>
    <w:rsid w:val="00B10458"/>
  </w:style>
  <w:style w:type="character" w:customStyle="1" w:styleId="pubyear">
    <w:name w:val="pubyear"/>
    <w:basedOn w:val="Fuentedeprrafopredeter"/>
    <w:rsid w:val="00B10458"/>
  </w:style>
  <w:style w:type="character" w:customStyle="1" w:styleId="journaltitle">
    <w:name w:val="journaltitle"/>
    <w:basedOn w:val="Fuentedeprrafopredeter"/>
    <w:rsid w:val="00B10458"/>
  </w:style>
  <w:style w:type="character" w:customStyle="1" w:styleId="vol">
    <w:name w:val="vol"/>
    <w:basedOn w:val="Fuentedeprrafopredeter"/>
    <w:rsid w:val="00B10458"/>
  </w:style>
  <w:style w:type="character" w:customStyle="1" w:styleId="pagefirst">
    <w:name w:val="pagefirst"/>
    <w:basedOn w:val="Fuentedeprrafopredeter"/>
    <w:rsid w:val="00B10458"/>
  </w:style>
  <w:style w:type="character" w:customStyle="1" w:styleId="pagelast">
    <w:name w:val="pagelast"/>
    <w:basedOn w:val="Fuentedeprrafopredeter"/>
    <w:rsid w:val="00B10458"/>
  </w:style>
  <w:style w:type="character" w:customStyle="1" w:styleId="ff8">
    <w:name w:val="ff8"/>
    <w:basedOn w:val="Fuentedeprrafopredeter"/>
    <w:rsid w:val="0071496E"/>
  </w:style>
  <w:style w:type="paragraph" w:styleId="HTMLconformatoprevio">
    <w:name w:val="HTML Preformatted"/>
    <w:basedOn w:val="Normal"/>
    <w:link w:val="HTMLconformatoprevioCar"/>
    <w:uiPriority w:val="99"/>
    <w:unhideWhenUsed/>
    <w:rsid w:val="00714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71496E"/>
    <w:rPr>
      <w:rFonts w:ascii="Courier New" w:hAnsi="Courier New" w:cs="Courier New"/>
      <w:sz w:val="20"/>
      <w:szCs w:val="20"/>
      <w:lang w:val="es-ES_tradnl" w:eastAsia="es-ES_tradnl"/>
    </w:rPr>
  </w:style>
  <w:style w:type="paragraph" w:customStyle="1" w:styleId="Normal1">
    <w:name w:val="Normal1"/>
    <w:rsid w:val="0071496E"/>
    <w:pPr>
      <w:widowControl w:val="0"/>
      <w:spacing w:line="276" w:lineRule="auto"/>
      <w:jc w:val="left"/>
    </w:pPr>
    <w:rPr>
      <w:rFonts w:ascii="Calibri" w:eastAsia="Calibri" w:hAnsi="Calibri" w:cs="Calibri"/>
      <w:color w:val="000000"/>
      <w:szCs w:val="24"/>
      <w:lang w:val="es-ES_tradnl"/>
    </w:rPr>
  </w:style>
  <w:style w:type="paragraph" w:styleId="Sinespaciado">
    <w:name w:val="No Spacing"/>
    <w:uiPriority w:val="1"/>
    <w:qFormat/>
    <w:rsid w:val="00EB602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6F03"/>
    <w:pPr>
      <w:ind w:left="720"/>
      <w:contextualSpacing/>
    </w:pPr>
  </w:style>
  <w:style w:type="paragraph" w:styleId="Textodeglobo">
    <w:name w:val="Balloon Text"/>
    <w:basedOn w:val="Normal"/>
    <w:link w:val="TextodegloboCar"/>
    <w:uiPriority w:val="99"/>
    <w:semiHidden/>
    <w:unhideWhenUsed/>
    <w:rsid w:val="00873C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C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069836">
      <w:bodyDiv w:val="1"/>
      <w:marLeft w:val="0"/>
      <w:marRight w:val="0"/>
      <w:marTop w:val="0"/>
      <w:marBottom w:val="0"/>
      <w:divBdr>
        <w:top w:val="none" w:sz="0" w:space="0" w:color="auto"/>
        <w:left w:val="none" w:sz="0" w:space="0" w:color="auto"/>
        <w:bottom w:val="none" w:sz="0" w:space="0" w:color="auto"/>
        <w:right w:val="none" w:sz="0" w:space="0" w:color="auto"/>
      </w:divBdr>
    </w:div>
    <w:div w:id="1869291064">
      <w:bodyDiv w:val="1"/>
      <w:marLeft w:val="0"/>
      <w:marRight w:val="0"/>
      <w:marTop w:val="0"/>
      <w:marBottom w:val="0"/>
      <w:divBdr>
        <w:top w:val="none" w:sz="0" w:space="0" w:color="auto"/>
        <w:left w:val="none" w:sz="0" w:space="0" w:color="auto"/>
        <w:bottom w:val="none" w:sz="0" w:space="0" w:color="auto"/>
        <w:right w:val="none" w:sz="0" w:space="0" w:color="auto"/>
      </w:divBdr>
      <w:divsChild>
        <w:div w:id="403378672">
          <w:marLeft w:val="547"/>
          <w:marRight w:val="0"/>
          <w:marTop w:val="154"/>
          <w:marBottom w:val="0"/>
          <w:divBdr>
            <w:top w:val="none" w:sz="0" w:space="0" w:color="auto"/>
            <w:left w:val="none" w:sz="0" w:space="0" w:color="auto"/>
            <w:bottom w:val="none" w:sz="0" w:space="0" w:color="auto"/>
            <w:right w:val="none" w:sz="0" w:space="0" w:color="auto"/>
          </w:divBdr>
        </w:div>
        <w:div w:id="1736855051">
          <w:marLeft w:val="547"/>
          <w:marRight w:val="0"/>
          <w:marTop w:val="154"/>
          <w:marBottom w:val="0"/>
          <w:divBdr>
            <w:top w:val="none" w:sz="0" w:space="0" w:color="auto"/>
            <w:left w:val="none" w:sz="0" w:space="0" w:color="auto"/>
            <w:bottom w:val="none" w:sz="0" w:space="0" w:color="auto"/>
            <w:right w:val="none" w:sz="0" w:space="0" w:color="auto"/>
          </w:divBdr>
        </w:div>
        <w:div w:id="83650580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D5A42-5B71-4C2A-8AEE-D56583A5A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2463</Words>
  <Characters>13548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ALEJANDRO PINTO VALENCIA</dc:creator>
  <cp:lastModifiedBy>DAVID ALEJANDRO PINTO VALENCIA</cp:lastModifiedBy>
  <cp:revision>4</cp:revision>
  <dcterms:created xsi:type="dcterms:W3CDTF">2017-08-29T18:26:00Z</dcterms:created>
  <dcterms:modified xsi:type="dcterms:W3CDTF">2017-08-30T03:18:00Z</dcterms:modified>
</cp:coreProperties>
</file>