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CD8F3" w14:textId="77777777" w:rsidR="00DB6651" w:rsidRPr="00DB6651" w:rsidRDefault="00DB6651" w:rsidP="00DB6651">
      <w:pPr>
        <w:jc w:val="center"/>
        <w:rPr>
          <w:rFonts w:ascii="Arial" w:eastAsia="Times New Roman" w:hAnsi="Arial" w:cs="Arial"/>
          <w:b/>
          <w:i/>
          <w:sz w:val="24"/>
          <w:szCs w:val="24"/>
        </w:rPr>
      </w:pPr>
      <w:r w:rsidRPr="00DB6651">
        <w:rPr>
          <w:rFonts w:ascii="Arial" w:eastAsia="Times New Roman" w:hAnsi="Arial" w:cs="Arial"/>
          <w:b/>
          <w:sz w:val="24"/>
          <w:szCs w:val="24"/>
        </w:rPr>
        <w:t xml:space="preserve">Estudio </w:t>
      </w:r>
      <w:proofErr w:type="spellStart"/>
      <w:r w:rsidRPr="00DB6651">
        <w:rPr>
          <w:rFonts w:ascii="Arial" w:eastAsia="Times New Roman" w:hAnsi="Arial" w:cs="Arial"/>
          <w:b/>
          <w:sz w:val="24"/>
          <w:szCs w:val="24"/>
        </w:rPr>
        <w:t>fitoquímico</w:t>
      </w:r>
      <w:proofErr w:type="spellEnd"/>
      <w:r w:rsidRPr="00DB6651">
        <w:rPr>
          <w:rFonts w:ascii="Arial" w:eastAsia="Times New Roman" w:hAnsi="Arial" w:cs="Arial"/>
          <w:b/>
          <w:sz w:val="24"/>
          <w:szCs w:val="24"/>
        </w:rPr>
        <w:t xml:space="preserve"> preliminar y evaluación de la toxicidad oral aguda de </w:t>
      </w:r>
      <w:proofErr w:type="spellStart"/>
      <w:r w:rsidRPr="00DB6651">
        <w:rPr>
          <w:rFonts w:ascii="Arial" w:eastAsia="Times New Roman" w:hAnsi="Arial" w:cs="Arial"/>
          <w:b/>
          <w:i/>
          <w:sz w:val="24"/>
          <w:szCs w:val="24"/>
        </w:rPr>
        <w:t>Aleurites</w:t>
      </w:r>
      <w:proofErr w:type="spellEnd"/>
      <w:r w:rsidRPr="00DB6651">
        <w:rPr>
          <w:rFonts w:ascii="Arial" w:eastAsia="Times New Roman" w:hAnsi="Arial" w:cs="Arial"/>
          <w:b/>
          <w:i/>
          <w:sz w:val="24"/>
          <w:szCs w:val="24"/>
        </w:rPr>
        <w:t xml:space="preserve"> </w:t>
      </w:r>
      <w:proofErr w:type="spellStart"/>
      <w:r w:rsidRPr="00DB6651">
        <w:rPr>
          <w:rFonts w:ascii="Arial" w:eastAsia="Times New Roman" w:hAnsi="Arial" w:cs="Arial"/>
          <w:b/>
          <w:i/>
          <w:sz w:val="24"/>
          <w:szCs w:val="24"/>
        </w:rPr>
        <w:t>moluccana</w:t>
      </w:r>
      <w:proofErr w:type="spellEnd"/>
    </w:p>
    <w:p w14:paraId="707BCDF2" w14:textId="77777777" w:rsidR="00DB6651" w:rsidRPr="00DB6651" w:rsidRDefault="00DB6651" w:rsidP="00E740D4">
      <w:pPr>
        <w:jc w:val="center"/>
        <w:rPr>
          <w:rFonts w:ascii="Arial" w:eastAsia="Times New Roman" w:hAnsi="Arial" w:cs="Arial"/>
          <w:sz w:val="20"/>
          <w:szCs w:val="20"/>
        </w:rPr>
      </w:pPr>
      <w:r w:rsidRPr="00DB6651">
        <w:rPr>
          <w:rFonts w:ascii="Arial" w:eastAsia="Times New Roman" w:hAnsi="Arial" w:cs="Arial"/>
          <w:b/>
          <w:sz w:val="20"/>
          <w:szCs w:val="20"/>
        </w:rPr>
        <w:t>José Becerra González</w:t>
      </w:r>
      <w:r w:rsidRPr="00DB6651">
        <w:rPr>
          <w:rFonts w:ascii="Arial" w:eastAsia="Times New Roman" w:hAnsi="Arial" w:cs="Arial"/>
          <w:sz w:val="20"/>
          <w:szCs w:val="20"/>
          <w:vertAlign w:val="superscript"/>
        </w:rPr>
        <w:t>1,2</w:t>
      </w:r>
      <w:r w:rsidRPr="00DB6651">
        <w:rPr>
          <w:rFonts w:ascii="Arial" w:eastAsia="Times New Roman" w:hAnsi="Arial" w:cs="Arial"/>
          <w:sz w:val="20"/>
          <w:szCs w:val="20"/>
        </w:rPr>
        <w:t>, Dr. Javier Germán Rodríguez Carpena</w:t>
      </w:r>
      <w:r w:rsidRPr="00DB6651">
        <w:rPr>
          <w:rFonts w:ascii="Arial" w:eastAsia="Times New Roman" w:hAnsi="Arial" w:cs="Arial"/>
          <w:sz w:val="20"/>
          <w:szCs w:val="20"/>
          <w:vertAlign w:val="superscript"/>
        </w:rPr>
        <w:t>2</w:t>
      </w:r>
      <w:r w:rsidRPr="00DB6651">
        <w:rPr>
          <w:rFonts w:ascii="Arial" w:eastAsia="Times New Roman" w:hAnsi="Arial" w:cs="Arial"/>
          <w:sz w:val="20"/>
          <w:szCs w:val="20"/>
        </w:rPr>
        <w:t>, Dra. Angélica Berenice Aguilar Gudarrama</w:t>
      </w:r>
      <w:r w:rsidRPr="00DB6651">
        <w:rPr>
          <w:rFonts w:ascii="Arial" w:eastAsia="Times New Roman" w:hAnsi="Arial" w:cs="Arial"/>
          <w:sz w:val="20"/>
          <w:szCs w:val="20"/>
          <w:vertAlign w:val="superscript"/>
        </w:rPr>
        <w:t>3</w:t>
      </w:r>
      <w:r w:rsidRPr="00DB6651">
        <w:rPr>
          <w:rFonts w:ascii="Arial" w:eastAsia="Times New Roman" w:hAnsi="Arial" w:cs="Arial"/>
          <w:sz w:val="20"/>
          <w:szCs w:val="20"/>
        </w:rPr>
        <w:t>, Dr. en F. Gabriela María Ávila Villarreal</w:t>
      </w:r>
      <w:r w:rsidRPr="00DB6651">
        <w:rPr>
          <w:rFonts w:ascii="Arial" w:eastAsia="Times New Roman" w:hAnsi="Arial" w:cs="Arial"/>
          <w:sz w:val="20"/>
          <w:szCs w:val="20"/>
          <w:vertAlign w:val="superscript"/>
        </w:rPr>
        <w:t>1,2</w:t>
      </w:r>
      <w:r w:rsidRPr="00DB6651">
        <w:rPr>
          <w:rFonts w:ascii="Arial" w:eastAsia="Times New Roman" w:hAnsi="Arial" w:cs="Arial"/>
          <w:sz w:val="20"/>
          <w:szCs w:val="20"/>
        </w:rPr>
        <w:t>.</w:t>
      </w:r>
    </w:p>
    <w:p w14:paraId="5898BDCA" w14:textId="77777777" w:rsidR="00DB6651" w:rsidRPr="00DB6651" w:rsidRDefault="00DB6651" w:rsidP="00DB6651">
      <w:pPr>
        <w:jc w:val="both"/>
        <w:rPr>
          <w:rFonts w:ascii="Arial" w:eastAsia="Times New Roman" w:hAnsi="Arial" w:cs="Arial"/>
          <w:sz w:val="20"/>
          <w:szCs w:val="20"/>
        </w:rPr>
      </w:pPr>
      <w:r w:rsidRPr="00DB6651">
        <w:rPr>
          <w:rFonts w:ascii="Arial" w:eastAsia="Times New Roman" w:hAnsi="Arial" w:cs="Arial"/>
          <w:sz w:val="20"/>
          <w:szCs w:val="20"/>
          <w:vertAlign w:val="superscript"/>
        </w:rPr>
        <w:t>1</w:t>
      </w:r>
      <w:r w:rsidRPr="00DB6651">
        <w:rPr>
          <w:rFonts w:ascii="Arial" w:eastAsia="Times New Roman" w:hAnsi="Arial" w:cs="Arial"/>
          <w:sz w:val="20"/>
          <w:szCs w:val="20"/>
        </w:rPr>
        <w:t xml:space="preserve">Unidad Académica de Ciencias Químico Biológicas y Farmacéuticas, </w:t>
      </w:r>
      <w:r w:rsidRPr="00DB6651">
        <w:rPr>
          <w:rFonts w:ascii="Arial" w:eastAsia="Times New Roman" w:hAnsi="Arial" w:cs="Arial"/>
          <w:sz w:val="20"/>
          <w:szCs w:val="20"/>
          <w:vertAlign w:val="superscript"/>
        </w:rPr>
        <w:t xml:space="preserve">2 </w:t>
      </w:r>
      <w:r w:rsidRPr="00DB6651">
        <w:rPr>
          <w:rFonts w:ascii="Arial" w:eastAsia="Times New Roman" w:hAnsi="Arial" w:cs="Arial"/>
          <w:sz w:val="20"/>
          <w:szCs w:val="20"/>
        </w:rPr>
        <w:t>Unidad Especializada en I+D+</w:t>
      </w:r>
      <w:r w:rsidRPr="00DB6651">
        <w:rPr>
          <w:rFonts w:ascii="Arial" w:eastAsia="Times New Roman" w:hAnsi="Arial" w:cs="Arial"/>
          <w:i/>
          <w:sz w:val="20"/>
          <w:szCs w:val="20"/>
        </w:rPr>
        <w:t>i</w:t>
      </w:r>
      <w:r w:rsidRPr="00DB6651">
        <w:rPr>
          <w:rFonts w:ascii="Arial" w:eastAsia="Times New Roman" w:hAnsi="Arial" w:cs="Arial"/>
          <w:sz w:val="20"/>
          <w:szCs w:val="20"/>
        </w:rPr>
        <w:t xml:space="preserve"> en Calidad de Alimentos y Productos Naturales - CENiT</w:t>
      </w:r>
      <w:r w:rsidRPr="00DB6651">
        <w:rPr>
          <w:rFonts w:ascii="Arial" w:eastAsia="Times New Roman" w:hAnsi="Arial" w:cs="Arial"/>
          <w:sz w:val="20"/>
          <w:szCs w:val="20"/>
          <w:vertAlign w:val="superscript"/>
        </w:rPr>
        <w:t>2</w:t>
      </w:r>
      <w:r w:rsidRPr="00DB6651">
        <w:rPr>
          <w:rFonts w:ascii="Arial" w:eastAsia="Times New Roman" w:hAnsi="Arial" w:cs="Arial"/>
          <w:sz w:val="20"/>
          <w:szCs w:val="20"/>
        </w:rPr>
        <w:t xml:space="preserve">, Universidad Autónoma de Nayarit. </w:t>
      </w:r>
      <w:r w:rsidRPr="00DB6651">
        <w:rPr>
          <w:rFonts w:ascii="Arial" w:eastAsia="Times New Roman" w:hAnsi="Arial" w:cs="Arial"/>
          <w:sz w:val="20"/>
          <w:szCs w:val="20"/>
          <w:vertAlign w:val="superscript"/>
        </w:rPr>
        <w:t>3</w:t>
      </w:r>
      <w:r w:rsidRPr="00DB6651">
        <w:rPr>
          <w:rFonts w:ascii="Arial" w:eastAsia="Times New Roman" w:hAnsi="Arial" w:cs="Arial"/>
          <w:sz w:val="20"/>
          <w:szCs w:val="20"/>
        </w:rPr>
        <w:t>Centro de Investigaciones Químicas IICBA, Universidad Autónoma del Estado de Morelos.</w:t>
      </w:r>
    </w:p>
    <w:p w14:paraId="76B5D867" w14:textId="77777777" w:rsidR="00DB6651" w:rsidRPr="00DB6651" w:rsidRDefault="002C322D" w:rsidP="00DB6651">
      <w:pPr>
        <w:jc w:val="right"/>
        <w:rPr>
          <w:rFonts w:ascii="Arial" w:eastAsia="Times New Roman" w:hAnsi="Arial" w:cs="Arial"/>
          <w:b/>
          <w:sz w:val="20"/>
          <w:szCs w:val="20"/>
        </w:rPr>
      </w:pPr>
      <w:hyperlink r:id="rId8">
        <w:r w:rsidR="00DB6651" w:rsidRPr="00DB6651">
          <w:rPr>
            <w:rFonts w:ascii="Arial" w:eastAsia="Times New Roman" w:hAnsi="Arial" w:cs="Arial"/>
            <w:color w:val="1155CC"/>
            <w:sz w:val="20"/>
            <w:szCs w:val="20"/>
            <w:u w:val="single"/>
          </w:rPr>
          <w:t>jose.becerra@uan.edu.mx</w:t>
        </w:r>
      </w:hyperlink>
    </w:p>
    <w:p w14:paraId="393BE872" w14:textId="77777777" w:rsidR="000252FB" w:rsidRDefault="00DD140B">
      <w:pPr>
        <w:rPr>
          <w:rFonts w:ascii="Arial" w:hAnsi="Arial" w:cs="Arial"/>
          <w:sz w:val="24"/>
          <w:szCs w:val="24"/>
        </w:rPr>
      </w:pPr>
      <w:r>
        <w:rPr>
          <w:rFonts w:ascii="Arial" w:hAnsi="Arial" w:cs="Arial"/>
          <w:sz w:val="24"/>
          <w:szCs w:val="24"/>
        </w:rPr>
        <w:t xml:space="preserve">1.- </w:t>
      </w:r>
      <w:r w:rsidR="00247936">
        <w:rPr>
          <w:rFonts w:ascii="Arial" w:hAnsi="Arial" w:cs="Arial"/>
          <w:sz w:val="24"/>
          <w:szCs w:val="24"/>
        </w:rPr>
        <w:t>Introducción</w:t>
      </w:r>
    </w:p>
    <w:p w14:paraId="4A512F29" w14:textId="77777777" w:rsidR="00DB6651" w:rsidRDefault="00CF240F" w:rsidP="00D5757D">
      <w:pPr>
        <w:ind w:firstLine="720"/>
        <w:jc w:val="both"/>
        <w:rPr>
          <w:rFonts w:ascii="Arial" w:hAnsi="Arial" w:cs="Arial"/>
          <w:sz w:val="24"/>
          <w:szCs w:val="24"/>
        </w:rPr>
      </w:pPr>
      <w:r>
        <w:rPr>
          <w:rFonts w:ascii="Arial" w:hAnsi="Arial" w:cs="Arial"/>
          <w:sz w:val="24"/>
          <w:szCs w:val="24"/>
        </w:rPr>
        <w:t>De acuerdo a cifras de la OECD, para el 2015 en México más del 30% de su población era obesa. Sin embargo,</w:t>
      </w:r>
      <w:r w:rsidR="00DE4DE6">
        <w:rPr>
          <w:rFonts w:ascii="Arial" w:hAnsi="Arial" w:cs="Arial"/>
          <w:sz w:val="24"/>
          <w:szCs w:val="24"/>
        </w:rPr>
        <w:t xml:space="preserve"> </w:t>
      </w:r>
      <w:r>
        <w:rPr>
          <w:rFonts w:ascii="Arial" w:hAnsi="Arial" w:cs="Arial"/>
          <w:sz w:val="24"/>
          <w:szCs w:val="24"/>
        </w:rPr>
        <w:t>en países como México, Inglaterra y Estados Unidos las tasas de sobrepeso y obe</w:t>
      </w:r>
      <w:r w:rsidR="00D5757D">
        <w:rPr>
          <w:rFonts w:ascii="Arial" w:hAnsi="Arial" w:cs="Arial"/>
          <w:sz w:val="24"/>
          <w:szCs w:val="24"/>
        </w:rPr>
        <w:t>sidad siguen</w:t>
      </w:r>
      <w:r>
        <w:rPr>
          <w:rFonts w:ascii="Arial" w:hAnsi="Arial" w:cs="Arial"/>
          <w:sz w:val="24"/>
          <w:szCs w:val="24"/>
        </w:rPr>
        <w:t xml:space="preserve"> creci</w:t>
      </w:r>
      <w:r w:rsidR="00D5757D">
        <w:rPr>
          <w:rFonts w:ascii="Arial" w:hAnsi="Arial" w:cs="Arial"/>
          <w:sz w:val="24"/>
          <w:szCs w:val="24"/>
        </w:rPr>
        <w:t>en</w:t>
      </w:r>
      <w:r>
        <w:rPr>
          <w:rFonts w:ascii="Arial" w:hAnsi="Arial" w:cs="Arial"/>
          <w:sz w:val="24"/>
          <w:szCs w:val="24"/>
        </w:rPr>
        <w:t>do</w:t>
      </w:r>
      <w:r w:rsidR="00DE4DE6">
        <w:rPr>
          <w:rFonts w:ascii="Arial" w:hAnsi="Arial" w:cs="Arial"/>
          <w:sz w:val="24"/>
          <w:szCs w:val="24"/>
        </w:rPr>
        <w:t xml:space="preserve">. De </w:t>
      </w:r>
      <w:r w:rsidR="00172235">
        <w:rPr>
          <w:rFonts w:ascii="Arial" w:hAnsi="Arial" w:cs="Arial"/>
          <w:sz w:val="24"/>
          <w:szCs w:val="24"/>
        </w:rPr>
        <w:t>hecho,</w:t>
      </w:r>
      <w:r w:rsidR="00DE4DE6">
        <w:rPr>
          <w:rFonts w:ascii="Arial" w:hAnsi="Arial" w:cs="Arial"/>
          <w:sz w:val="24"/>
          <w:szCs w:val="24"/>
        </w:rPr>
        <w:t xml:space="preserve"> se espera que para el 2030, el 39% de la población en México </w:t>
      </w:r>
      <w:r w:rsidR="00887F5A">
        <w:rPr>
          <w:rFonts w:ascii="Arial" w:hAnsi="Arial" w:cs="Arial"/>
          <w:sz w:val="24"/>
          <w:szCs w:val="24"/>
        </w:rPr>
        <w:t>padezca obesidad</w:t>
      </w:r>
      <w:sdt>
        <w:sdtPr>
          <w:rPr>
            <w:rFonts w:ascii="Arial" w:hAnsi="Arial" w:cs="Arial"/>
            <w:b/>
            <w:sz w:val="24"/>
            <w:szCs w:val="24"/>
          </w:rPr>
          <w:id w:val="214537287"/>
          <w:citation/>
        </w:sdtPr>
        <w:sdtEndPr/>
        <w:sdtContent>
          <w:r w:rsidR="00342E21" w:rsidRPr="004A1043">
            <w:rPr>
              <w:rFonts w:ascii="Arial" w:hAnsi="Arial" w:cs="Arial"/>
              <w:b/>
              <w:sz w:val="24"/>
              <w:szCs w:val="24"/>
            </w:rPr>
            <w:fldChar w:fldCharType="begin"/>
          </w:r>
          <w:r w:rsidR="00DE4DE6" w:rsidRPr="004A1043">
            <w:rPr>
              <w:rFonts w:ascii="Arial" w:hAnsi="Arial" w:cs="Arial"/>
              <w:b/>
              <w:sz w:val="24"/>
              <w:szCs w:val="24"/>
              <w:lang w:val="es-MX"/>
            </w:rPr>
            <w:instrText xml:space="preserve"> CITATION OEC17 \l 2058 </w:instrText>
          </w:r>
          <w:r w:rsidR="00342E21" w:rsidRPr="004A1043">
            <w:rPr>
              <w:rFonts w:ascii="Arial" w:hAnsi="Arial" w:cs="Arial"/>
              <w:b/>
              <w:sz w:val="24"/>
              <w:szCs w:val="24"/>
            </w:rPr>
            <w:fldChar w:fldCharType="separate"/>
          </w:r>
          <w:r w:rsidR="00844EC5" w:rsidRPr="004A1043">
            <w:rPr>
              <w:rFonts w:ascii="Arial" w:hAnsi="Arial" w:cs="Arial"/>
              <w:b/>
              <w:noProof/>
              <w:sz w:val="24"/>
              <w:szCs w:val="24"/>
              <w:lang w:val="es-MX"/>
            </w:rPr>
            <w:t xml:space="preserve"> (OECD, 2017)</w:t>
          </w:r>
          <w:r w:rsidR="00342E21" w:rsidRPr="004A1043">
            <w:rPr>
              <w:rFonts w:ascii="Arial" w:hAnsi="Arial" w:cs="Arial"/>
              <w:b/>
              <w:sz w:val="24"/>
              <w:szCs w:val="24"/>
            </w:rPr>
            <w:fldChar w:fldCharType="end"/>
          </w:r>
        </w:sdtContent>
      </w:sdt>
      <w:r w:rsidR="00DE4DE6">
        <w:rPr>
          <w:rFonts w:ascii="Arial" w:hAnsi="Arial" w:cs="Arial"/>
          <w:sz w:val="24"/>
          <w:szCs w:val="24"/>
        </w:rPr>
        <w:t>.</w:t>
      </w:r>
    </w:p>
    <w:p w14:paraId="278B1841" w14:textId="701AA01E" w:rsidR="006A6F23" w:rsidRPr="004A1043" w:rsidRDefault="00DE4DE6" w:rsidP="006A6F23">
      <w:pPr>
        <w:ind w:firstLine="720"/>
        <w:jc w:val="both"/>
        <w:rPr>
          <w:rFonts w:ascii="Arial" w:hAnsi="Arial" w:cs="Arial"/>
          <w:sz w:val="24"/>
          <w:szCs w:val="24"/>
        </w:rPr>
      </w:pPr>
      <w:r>
        <w:rPr>
          <w:rFonts w:ascii="Arial" w:hAnsi="Arial" w:cs="Arial"/>
          <w:sz w:val="24"/>
          <w:szCs w:val="24"/>
        </w:rPr>
        <w:t xml:space="preserve">En la actualidad existen diversas terapias farmacológicas para atender los </w:t>
      </w:r>
      <w:r w:rsidRPr="006A6F23">
        <w:rPr>
          <w:rFonts w:ascii="Arial" w:hAnsi="Arial" w:cs="Arial"/>
          <w:sz w:val="24"/>
          <w:szCs w:val="24"/>
        </w:rPr>
        <w:t>problemas</w:t>
      </w:r>
      <w:r>
        <w:rPr>
          <w:rFonts w:ascii="Arial" w:hAnsi="Arial" w:cs="Arial"/>
          <w:sz w:val="24"/>
          <w:szCs w:val="24"/>
        </w:rPr>
        <w:t xml:space="preserve"> de sobrepeso en las personas. Dentro de las opciones disponibles podemos encontrar; </w:t>
      </w:r>
      <w:proofErr w:type="spellStart"/>
      <w:r w:rsidR="00241AB1" w:rsidRPr="00241AB1">
        <w:rPr>
          <w:rFonts w:ascii="Arial" w:hAnsi="Arial" w:cs="Arial"/>
          <w:sz w:val="24"/>
          <w:szCs w:val="24"/>
        </w:rPr>
        <w:t>orlistat</w:t>
      </w:r>
      <w:proofErr w:type="spellEnd"/>
      <w:r w:rsidR="00241AB1" w:rsidRPr="00241AB1">
        <w:rPr>
          <w:rFonts w:ascii="Arial" w:hAnsi="Arial" w:cs="Arial"/>
          <w:sz w:val="24"/>
          <w:szCs w:val="24"/>
        </w:rPr>
        <w:t xml:space="preserve">, </w:t>
      </w:r>
      <w:proofErr w:type="spellStart"/>
      <w:r w:rsidR="00241AB1" w:rsidRPr="00241AB1">
        <w:rPr>
          <w:rFonts w:ascii="Arial" w:hAnsi="Arial" w:cs="Arial"/>
          <w:sz w:val="24"/>
          <w:szCs w:val="24"/>
        </w:rPr>
        <w:t>fentermina</w:t>
      </w:r>
      <w:proofErr w:type="spellEnd"/>
      <w:r w:rsidR="00241AB1" w:rsidRPr="00241AB1">
        <w:rPr>
          <w:rFonts w:ascii="Arial" w:hAnsi="Arial" w:cs="Arial"/>
          <w:sz w:val="24"/>
          <w:szCs w:val="24"/>
        </w:rPr>
        <w:t xml:space="preserve">, </w:t>
      </w:r>
      <w:proofErr w:type="spellStart"/>
      <w:r w:rsidR="00241AB1" w:rsidRPr="00241AB1">
        <w:rPr>
          <w:rFonts w:ascii="Arial" w:hAnsi="Arial" w:cs="Arial"/>
          <w:sz w:val="24"/>
          <w:szCs w:val="24"/>
        </w:rPr>
        <w:t>dietilpropión</w:t>
      </w:r>
      <w:proofErr w:type="spellEnd"/>
      <w:r w:rsidR="00241AB1" w:rsidRPr="00241AB1">
        <w:rPr>
          <w:rFonts w:ascii="Arial" w:hAnsi="Arial" w:cs="Arial"/>
          <w:sz w:val="24"/>
          <w:szCs w:val="24"/>
        </w:rPr>
        <w:t xml:space="preserve">, y </w:t>
      </w:r>
      <w:proofErr w:type="spellStart"/>
      <w:r w:rsidR="00241AB1" w:rsidRPr="00241AB1">
        <w:rPr>
          <w:rFonts w:ascii="Arial" w:hAnsi="Arial" w:cs="Arial"/>
          <w:sz w:val="24"/>
          <w:szCs w:val="24"/>
        </w:rPr>
        <w:t>fluoxetina</w:t>
      </w:r>
      <w:proofErr w:type="spellEnd"/>
      <w:r w:rsidR="00241AB1" w:rsidRPr="00241AB1">
        <w:rPr>
          <w:rFonts w:ascii="Arial" w:hAnsi="Arial" w:cs="Arial"/>
          <w:sz w:val="24"/>
          <w:szCs w:val="24"/>
        </w:rPr>
        <w:t xml:space="preserve"> o </w:t>
      </w:r>
      <w:proofErr w:type="spellStart"/>
      <w:r w:rsidR="00241AB1" w:rsidRPr="00241AB1">
        <w:rPr>
          <w:rFonts w:ascii="Arial" w:hAnsi="Arial" w:cs="Arial"/>
          <w:sz w:val="24"/>
          <w:szCs w:val="24"/>
        </w:rPr>
        <w:t>bupropión</w:t>
      </w:r>
      <w:proofErr w:type="spellEnd"/>
      <w:r w:rsidR="00241AB1">
        <w:rPr>
          <w:rFonts w:ascii="Arial" w:hAnsi="Arial" w:cs="Arial"/>
          <w:sz w:val="24"/>
          <w:szCs w:val="24"/>
        </w:rPr>
        <w:t>. Por desgracia, muchas de las veces estos tratamientos son asociados a un aumento de peso de rebote después de terminar el tratamiento farmacológico</w:t>
      </w:r>
      <w:sdt>
        <w:sdtPr>
          <w:rPr>
            <w:rFonts w:ascii="Arial" w:hAnsi="Arial" w:cs="Arial"/>
            <w:b/>
            <w:sz w:val="24"/>
            <w:szCs w:val="24"/>
          </w:rPr>
          <w:id w:val="214537288"/>
          <w:citation/>
        </w:sdtPr>
        <w:sdtEndPr/>
        <w:sdtContent>
          <w:r w:rsidR="00342E21" w:rsidRPr="00DD140B">
            <w:rPr>
              <w:rFonts w:ascii="Arial" w:hAnsi="Arial" w:cs="Arial"/>
              <w:b/>
              <w:sz w:val="24"/>
              <w:szCs w:val="24"/>
            </w:rPr>
            <w:fldChar w:fldCharType="begin"/>
          </w:r>
          <w:r w:rsidR="00241AB1" w:rsidRPr="00DD140B">
            <w:rPr>
              <w:rFonts w:ascii="Arial" w:hAnsi="Arial" w:cs="Arial"/>
              <w:b/>
              <w:sz w:val="24"/>
              <w:szCs w:val="24"/>
              <w:lang w:val="es-MX"/>
            </w:rPr>
            <w:instrText xml:space="preserve"> CITATION Has09 \l 2058 </w:instrText>
          </w:r>
          <w:r w:rsidR="00342E21" w:rsidRPr="00DD140B">
            <w:rPr>
              <w:rFonts w:ascii="Arial" w:hAnsi="Arial" w:cs="Arial"/>
              <w:b/>
              <w:sz w:val="24"/>
              <w:szCs w:val="24"/>
            </w:rPr>
            <w:fldChar w:fldCharType="separate"/>
          </w:r>
          <w:r w:rsidR="00844EC5">
            <w:rPr>
              <w:rFonts w:ascii="Arial" w:hAnsi="Arial" w:cs="Arial"/>
              <w:b/>
              <w:noProof/>
              <w:sz w:val="24"/>
              <w:szCs w:val="24"/>
              <w:lang w:val="es-MX"/>
            </w:rPr>
            <w:t xml:space="preserve"> </w:t>
          </w:r>
          <w:r w:rsidR="00844EC5" w:rsidRPr="00844EC5">
            <w:rPr>
              <w:rFonts w:ascii="Arial" w:hAnsi="Arial" w:cs="Arial"/>
              <w:noProof/>
              <w:sz w:val="24"/>
              <w:szCs w:val="24"/>
              <w:lang w:val="es-MX"/>
            </w:rPr>
            <w:t>(Hasani-Ranjbar, Nayebi, Larijani, &amp; Abdollahi, 2009)</w:t>
          </w:r>
          <w:r w:rsidR="00342E21" w:rsidRPr="00DD140B">
            <w:rPr>
              <w:rFonts w:ascii="Arial" w:hAnsi="Arial" w:cs="Arial"/>
              <w:b/>
              <w:sz w:val="24"/>
              <w:szCs w:val="24"/>
            </w:rPr>
            <w:fldChar w:fldCharType="end"/>
          </w:r>
        </w:sdtContent>
      </w:sdt>
      <w:r w:rsidR="00241AB1">
        <w:rPr>
          <w:rFonts w:ascii="Arial" w:hAnsi="Arial" w:cs="Arial"/>
          <w:sz w:val="24"/>
          <w:szCs w:val="24"/>
        </w:rPr>
        <w:t>.</w:t>
      </w:r>
      <w:r w:rsidR="00973A7A">
        <w:rPr>
          <w:rFonts w:ascii="Arial" w:hAnsi="Arial" w:cs="Arial"/>
          <w:sz w:val="24"/>
          <w:szCs w:val="24"/>
        </w:rPr>
        <w:t xml:space="preserve"> Este problema aunado a otros más </w:t>
      </w:r>
      <w:r w:rsidR="00DD140B">
        <w:rPr>
          <w:rFonts w:ascii="Arial" w:hAnsi="Arial" w:cs="Arial"/>
          <w:sz w:val="24"/>
          <w:szCs w:val="24"/>
        </w:rPr>
        <w:t>ha</w:t>
      </w:r>
      <w:r w:rsidR="003E6255">
        <w:rPr>
          <w:rFonts w:ascii="Arial" w:hAnsi="Arial" w:cs="Arial"/>
          <w:sz w:val="24"/>
          <w:szCs w:val="24"/>
        </w:rPr>
        <w:t xml:space="preserve"> ocasionado el</w:t>
      </w:r>
      <w:r w:rsidR="00973A7A">
        <w:rPr>
          <w:rFonts w:ascii="Arial" w:hAnsi="Arial" w:cs="Arial"/>
          <w:sz w:val="24"/>
          <w:szCs w:val="24"/>
        </w:rPr>
        <w:t xml:space="preserve"> uso indiscriminado de hierbas medicinales con una idea falsa que se b</w:t>
      </w:r>
      <w:r w:rsidR="00DD140B">
        <w:rPr>
          <w:rFonts w:ascii="Arial" w:hAnsi="Arial" w:cs="Arial"/>
          <w:sz w:val="24"/>
          <w:szCs w:val="24"/>
        </w:rPr>
        <w:t xml:space="preserve">asa en creencia de </w:t>
      </w:r>
      <w:r w:rsidR="00973A7A">
        <w:rPr>
          <w:rFonts w:ascii="Arial" w:hAnsi="Arial" w:cs="Arial"/>
          <w:sz w:val="24"/>
          <w:szCs w:val="24"/>
        </w:rPr>
        <w:t>que la medicina natural es inofensiva</w:t>
      </w:r>
      <w:r w:rsidR="003E6255">
        <w:rPr>
          <w:rFonts w:ascii="Arial" w:hAnsi="Arial" w:cs="Arial"/>
          <w:sz w:val="24"/>
          <w:szCs w:val="24"/>
        </w:rPr>
        <w:t>. Este uso también ha sido asociado con una obsesión por la reducción de peso</w:t>
      </w:r>
      <w:sdt>
        <w:sdtPr>
          <w:rPr>
            <w:rFonts w:ascii="Arial" w:hAnsi="Arial" w:cs="Arial"/>
            <w:sz w:val="24"/>
            <w:szCs w:val="24"/>
          </w:rPr>
          <w:id w:val="214537289"/>
          <w:citation/>
        </w:sdtPr>
        <w:sdtEndPr/>
        <w:sdtContent>
          <w:r w:rsidR="00342E21" w:rsidRPr="004A1043">
            <w:rPr>
              <w:rFonts w:ascii="Arial" w:hAnsi="Arial" w:cs="Arial"/>
              <w:sz w:val="24"/>
              <w:szCs w:val="24"/>
            </w:rPr>
            <w:fldChar w:fldCharType="begin"/>
          </w:r>
          <w:r w:rsidR="00DD140B" w:rsidRPr="004A1043">
            <w:rPr>
              <w:rFonts w:ascii="Arial" w:hAnsi="Arial" w:cs="Arial"/>
              <w:sz w:val="24"/>
              <w:szCs w:val="24"/>
              <w:lang w:val="es-MX"/>
            </w:rPr>
            <w:instrText xml:space="preserve"> CITATION DeO14 \l 2058 </w:instrText>
          </w:r>
          <w:r w:rsidR="00342E21" w:rsidRPr="004A1043">
            <w:rPr>
              <w:rFonts w:ascii="Arial" w:hAnsi="Arial" w:cs="Arial"/>
              <w:sz w:val="24"/>
              <w:szCs w:val="24"/>
            </w:rPr>
            <w:fldChar w:fldCharType="separate"/>
          </w:r>
          <w:r w:rsidR="00844EC5" w:rsidRPr="004A1043">
            <w:rPr>
              <w:rFonts w:ascii="Arial" w:hAnsi="Arial" w:cs="Arial"/>
              <w:noProof/>
              <w:sz w:val="24"/>
              <w:szCs w:val="24"/>
              <w:lang w:val="es-MX"/>
            </w:rPr>
            <w:t xml:space="preserve"> (De Oliveira, Rocha, &amp; Abreu, 2014)</w:t>
          </w:r>
          <w:r w:rsidR="00342E21" w:rsidRPr="004A1043">
            <w:rPr>
              <w:rFonts w:ascii="Arial" w:hAnsi="Arial" w:cs="Arial"/>
              <w:sz w:val="24"/>
              <w:szCs w:val="24"/>
            </w:rPr>
            <w:fldChar w:fldCharType="end"/>
          </w:r>
        </w:sdtContent>
      </w:sdt>
      <w:r w:rsidR="00DD140B" w:rsidRPr="004A1043">
        <w:rPr>
          <w:rFonts w:ascii="Arial" w:hAnsi="Arial" w:cs="Arial"/>
          <w:sz w:val="24"/>
          <w:szCs w:val="24"/>
        </w:rPr>
        <w:t>.</w:t>
      </w:r>
    </w:p>
    <w:p w14:paraId="1E2E3FB8" w14:textId="05C5D870" w:rsidR="00DD140B" w:rsidRDefault="006A6F23" w:rsidP="00D5757D">
      <w:pPr>
        <w:ind w:firstLine="720"/>
        <w:jc w:val="both"/>
        <w:rPr>
          <w:rFonts w:ascii="Arial" w:hAnsi="Arial" w:cs="Arial"/>
          <w:sz w:val="24"/>
          <w:szCs w:val="24"/>
        </w:rPr>
      </w:pPr>
      <w:proofErr w:type="spellStart"/>
      <w:r w:rsidRPr="00823E7B">
        <w:rPr>
          <w:rFonts w:ascii="Arial" w:hAnsi="Arial" w:cs="Arial"/>
          <w:i/>
          <w:sz w:val="24"/>
          <w:szCs w:val="24"/>
        </w:rPr>
        <w:t>Aleurites</w:t>
      </w:r>
      <w:proofErr w:type="spellEnd"/>
      <w:r w:rsidRPr="00823E7B">
        <w:rPr>
          <w:rFonts w:ascii="Arial" w:hAnsi="Arial" w:cs="Arial"/>
          <w:i/>
          <w:sz w:val="24"/>
          <w:szCs w:val="24"/>
        </w:rPr>
        <w:t xml:space="preserve"> </w:t>
      </w:r>
      <w:proofErr w:type="spellStart"/>
      <w:r w:rsidRPr="00823E7B">
        <w:rPr>
          <w:rFonts w:ascii="Arial" w:hAnsi="Arial" w:cs="Arial"/>
          <w:i/>
          <w:sz w:val="24"/>
          <w:szCs w:val="24"/>
        </w:rPr>
        <w:t>moluccan</w:t>
      </w:r>
      <w:r>
        <w:rPr>
          <w:rFonts w:ascii="Arial" w:hAnsi="Arial" w:cs="Arial"/>
          <w:i/>
          <w:sz w:val="24"/>
          <w:szCs w:val="24"/>
        </w:rPr>
        <w:t>a</w:t>
      </w:r>
      <w:proofErr w:type="spellEnd"/>
      <w:r w:rsidRPr="00823E7B">
        <w:rPr>
          <w:rFonts w:ascii="Arial" w:hAnsi="Arial" w:cs="Arial"/>
          <w:sz w:val="24"/>
          <w:szCs w:val="24"/>
        </w:rPr>
        <w:t xml:space="preserve"> (L.), </w:t>
      </w:r>
      <w:proofErr w:type="spellStart"/>
      <w:r w:rsidRPr="00823E7B">
        <w:rPr>
          <w:rFonts w:ascii="Arial" w:hAnsi="Arial" w:cs="Arial"/>
          <w:sz w:val="24"/>
          <w:szCs w:val="24"/>
        </w:rPr>
        <w:t>Euphorbiaceae</w:t>
      </w:r>
      <w:proofErr w:type="spellEnd"/>
      <w:r w:rsidRPr="00823E7B">
        <w:rPr>
          <w:rFonts w:ascii="Arial" w:hAnsi="Arial" w:cs="Arial"/>
          <w:sz w:val="24"/>
          <w:szCs w:val="24"/>
        </w:rPr>
        <w:t xml:space="preserve">, </w:t>
      </w:r>
      <w:r w:rsidR="005E6B8C">
        <w:rPr>
          <w:rFonts w:ascii="Arial" w:hAnsi="Arial" w:cs="Arial"/>
          <w:sz w:val="24"/>
          <w:szCs w:val="24"/>
        </w:rPr>
        <w:t>conocido</w:t>
      </w:r>
      <w:r>
        <w:rPr>
          <w:rFonts w:ascii="Arial" w:hAnsi="Arial" w:cs="Arial"/>
          <w:sz w:val="24"/>
          <w:szCs w:val="24"/>
        </w:rPr>
        <w:t xml:space="preserve"> popularmente como “</w:t>
      </w:r>
      <w:proofErr w:type="spellStart"/>
      <w:r>
        <w:rPr>
          <w:rFonts w:ascii="Arial" w:hAnsi="Arial" w:cs="Arial"/>
          <w:sz w:val="24"/>
          <w:szCs w:val="24"/>
        </w:rPr>
        <w:t>Candlenut</w:t>
      </w:r>
      <w:proofErr w:type="spellEnd"/>
      <w:r>
        <w:rPr>
          <w:rFonts w:ascii="Arial" w:hAnsi="Arial" w:cs="Arial"/>
          <w:sz w:val="24"/>
          <w:szCs w:val="24"/>
        </w:rPr>
        <w:t xml:space="preserve"> </w:t>
      </w:r>
      <w:proofErr w:type="spellStart"/>
      <w:r>
        <w:rPr>
          <w:rFonts w:ascii="Arial" w:hAnsi="Arial" w:cs="Arial"/>
          <w:sz w:val="24"/>
          <w:szCs w:val="24"/>
        </w:rPr>
        <w:t>tree</w:t>
      </w:r>
      <w:proofErr w:type="spellEnd"/>
      <w:r>
        <w:rPr>
          <w:rFonts w:ascii="Arial" w:hAnsi="Arial" w:cs="Arial"/>
          <w:sz w:val="24"/>
          <w:szCs w:val="24"/>
        </w:rPr>
        <w:t>”, “</w:t>
      </w:r>
      <w:proofErr w:type="spellStart"/>
      <w:r>
        <w:rPr>
          <w:rFonts w:ascii="Arial" w:hAnsi="Arial" w:cs="Arial"/>
          <w:sz w:val="24"/>
          <w:szCs w:val="24"/>
        </w:rPr>
        <w:t>Ind</w:t>
      </w:r>
      <w:r w:rsidR="005E6B8C">
        <w:rPr>
          <w:rFonts w:ascii="Arial" w:hAnsi="Arial" w:cs="Arial"/>
          <w:sz w:val="24"/>
          <w:szCs w:val="24"/>
        </w:rPr>
        <w:t>ian</w:t>
      </w:r>
      <w:proofErr w:type="spellEnd"/>
      <w:r w:rsidR="005E6B8C">
        <w:rPr>
          <w:rFonts w:ascii="Arial" w:hAnsi="Arial" w:cs="Arial"/>
          <w:sz w:val="24"/>
          <w:szCs w:val="24"/>
        </w:rPr>
        <w:t xml:space="preserve"> </w:t>
      </w:r>
      <w:proofErr w:type="spellStart"/>
      <w:r w:rsidR="005E6B8C">
        <w:rPr>
          <w:rFonts w:ascii="Arial" w:hAnsi="Arial" w:cs="Arial"/>
          <w:sz w:val="24"/>
          <w:szCs w:val="24"/>
        </w:rPr>
        <w:t>Walnut</w:t>
      </w:r>
      <w:proofErr w:type="spellEnd"/>
      <w:r w:rsidR="005E6B8C">
        <w:rPr>
          <w:rFonts w:ascii="Arial" w:hAnsi="Arial" w:cs="Arial"/>
          <w:sz w:val="24"/>
          <w:szCs w:val="24"/>
        </w:rPr>
        <w:t>”, etc.  Es un árbol originario</w:t>
      </w:r>
      <w:r>
        <w:rPr>
          <w:rFonts w:ascii="Arial" w:hAnsi="Arial" w:cs="Arial"/>
          <w:sz w:val="24"/>
          <w:szCs w:val="24"/>
        </w:rPr>
        <w:t xml:space="preserve"> de </w:t>
      </w:r>
      <w:r w:rsidRPr="00B923F0">
        <w:rPr>
          <w:rFonts w:ascii="Arial" w:hAnsi="Arial" w:cs="Arial"/>
          <w:sz w:val="24"/>
          <w:szCs w:val="24"/>
        </w:rPr>
        <w:t>Malasia, Poline</w:t>
      </w:r>
      <w:r>
        <w:rPr>
          <w:rFonts w:ascii="Arial" w:hAnsi="Arial" w:cs="Arial"/>
          <w:sz w:val="24"/>
          <w:szCs w:val="24"/>
        </w:rPr>
        <w:t xml:space="preserve">sia y las Islas del Mar del </w:t>
      </w:r>
      <w:r w:rsidR="005E6B8C">
        <w:rPr>
          <w:rFonts w:ascii="Arial" w:hAnsi="Arial" w:cs="Arial"/>
          <w:sz w:val="24"/>
          <w:szCs w:val="24"/>
        </w:rPr>
        <w:t xml:space="preserve">Sur. Sin </w:t>
      </w:r>
      <w:r w:rsidR="003408A5">
        <w:rPr>
          <w:rFonts w:ascii="Arial" w:hAnsi="Arial" w:cs="Arial"/>
          <w:sz w:val="24"/>
          <w:szCs w:val="24"/>
        </w:rPr>
        <w:t>embargo,</w:t>
      </w:r>
      <w:r w:rsidR="005E6B8C">
        <w:rPr>
          <w:rFonts w:ascii="Arial" w:hAnsi="Arial" w:cs="Arial"/>
          <w:sz w:val="24"/>
          <w:szCs w:val="24"/>
        </w:rPr>
        <w:t xml:space="preserve"> fue introducido</w:t>
      </w:r>
      <w:r>
        <w:rPr>
          <w:rFonts w:ascii="Arial" w:hAnsi="Arial" w:cs="Arial"/>
          <w:sz w:val="24"/>
          <w:szCs w:val="24"/>
        </w:rPr>
        <w:t xml:space="preserve"> en la décad</w:t>
      </w:r>
      <w:r w:rsidR="005E6B8C">
        <w:rPr>
          <w:rFonts w:ascii="Arial" w:hAnsi="Arial" w:cs="Arial"/>
          <w:sz w:val="24"/>
          <w:szCs w:val="24"/>
        </w:rPr>
        <w:t>a de los “80” a Brasil como un árbol</w:t>
      </w:r>
      <w:r>
        <w:rPr>
          <w:rFonts w:ascii="Arial" w:hAnsi="Arial" w:cs="Arial"/>
          <w:sz w:val="24"/>
          <w:szCs w:val="24"/>
        </w:rPr>
        <w:t xml:space="preserve"> de uso ornamental</w:t>
      </w:r>
      <w:sdt>
        <w:sdtPr>
          <w:rPr>
            <w:rFonts w:ascii="Arial" w:hAnsi="Arial" w:cs="Arial"/>
            <w:b/>
            <w:sz w:val="24"/>
            <w:szCs w:val="24"/>
          </w:rPr>
          <w:id w:val="7184191"/>
          <w:citation/>
        </w:sdtPr>
        <w:sdtEndPr/>
        <w:sdtContent>
          <w:r w:rsidR="00342E21" w:rsidRPr="004A1043">
            <w:rPr>
              <w:rFonts w:ascii="Arial" w:hAnsi="Arial" w:cs="Arial"/>
              <w:b/>
              <w:sz w:val="24"/>
              <w:szCs w:val="24"/>
            </w:rPr>
            <w:fldChar w:fldCharType="begin"/>
          </w:r>
          <w:r w:rsidRPr="004A1043">
            <w:rPr>
              <w:rFonts w:ascii="Arial" w:hAnsi="Arial" w:cs="Arial"/>
              <w:b/>
              <w:sz w:val="24"/>
              <w:szCs w:val="24"/>
            </w:rPr>
            <w:instrText xml:space="preserve"> CITATION Qui11 \l 2058  </w:instrText>
          </w:r>
          <w:r w:rsidR="00342E21" w:rsidRPr="004A1043">
            <w:rPr>
              <w:rFonts w:ascii="Arial" w:hAnsi="Arial" w:cs="Arial"/>
              <w:b/>
              <w:sz w:val="24"/>
              <w:szCs w:val="24"/>
            </w:rPr>
            <w:fldChar w:fldCharType="separate"/>
          </w:r>
          <w:r w:rsidR="00844EC5" w:rsidRPr="004A1043">
            <w:rPr>
              <w:rFonts w:ascii="Arial" w:hAnsi="Arial" w:cs="Arial"/>
              <w:b/>
              <w:noProof/>
              <w:sz w:val="24"/>
              <w:szCs w:val="24"/>
            </w:rPr>
            <w:t xml:space="preserve"> (Quintao, et al., 2011)</w:t>
          </w:r>
          <w:r w:rsidR="00342E21" w:rsidRPr="004A1043">
            <w:rPr>
              <w:rFonts w:ascii="Arial" w:hAnsi="Arial" w:cs="Arial"/>
              <w:b/>
              <w:sz w:val="24"/>
              <w:szCs w:val="24"/>
            </w:rPr>
            <w:fldChar w:fldCharType="end"/>
          </w:r>
        </w:sdtContent>
      </w:sdt>
      <w:r w:rsidRPr="004A1043">
        <w:rPr>
          <w:rFonts w:ascii="Arial" w:hAnsi="Arial" w:cs="Arial"/>
          <w:b/>
          <w:sz w:val="24"/>
          <w:szCs w:val="24"/>
        </w:rPr>
        <w:t>.</w:t>
      </w:r>
    </w:p>
    <w:p w14:paraId="6F4F41F8" w14:textId="77777777" w:rsidR="005E6B8C" w:rsidRDefault="005E6B8C" w:rsidP="00D5757D">
      <w:pPr>
        <w:ind w:firstLine="720"/>
        <w:jc w:val="both"/>
        <w:rPr>
          <w:rFonts w:ascii="Arial" w:hAnsi="Arial" w:cs="Arial"/>
          <w:b/>
          <w:sz w:val="24"/>
          <w:szCs w:val="24"/>
        </w:rPr>
      </w:pPr>
      <w:r>
        <w:rPr>
          <w:rFonts w:ascii="Arial" w:hAnsi="Arial" w:cs="Arial"/>
          <w:i/>
          <w:sz w:val="24"/>
          <w:szCs w:val="24"/>
        </w:rPr>
        <w:t>A.</w:t>
      </w:r>
      <w:r w:rsidRPr="00E832DE">
        <w:rPr>
          <w:rFonts w:ascii="Arial" w:hAnsi="Arial" w:cs="Arial"/>
          <w:i/>
          <w:sz w:val="24"/>
          <w:szCs w:val="24"/>
        </w:rPr>
        <w:t xml:space="preserve"> </w:t>
      </w:r>
      <w:proofErr w:type="spellStart"/>
      <w:r w:rsidRPr="00E832DE">
        <w:rPr>
          <w:rFonts w:ascii="Arial" w:hAnsi="Arial" w:cs="Arial"/>
          <w:i/>
          <w:sz w:val="24"/>
          <w:szCs w:val="24"/>
        </w:rPr>
        <w:t>moluccana</w:t>
      </w:r>
      <w:proofErr w:type="spellEnd"/>
      <w:r>
        <w:rPr>
          <w:rFonts w:ascii="Arial" w:hAnsi="Arial" w:cs="Arial"/>
          <w:sz w:val="24"/>
          <w:szCs w:val="24"/>
        </w:rPr>
        <w:t xml:space="preserve"> s</w:t>
      </w:r>
      <w:r w:rsidRPr="00E832DE">
        <w:rPr>
          <w:rFonts w:ascii="Arial" w:hAnsi="Arial" w:cs="Arial"/>
          <w:sz w:val="24"/>
          <w:szCs w:val="24"/>
        </w:rPr>
        <w:t>e utiliza en la medicina popular para el tratamiento de fiebre, inflamación, asma, hepatitis, dolor de cabeza, úlcera gástrica. Sus semillas se utilizan como antirreumático y como fertilizante</w:t>
      </w:r>
      <w:sdt>
        <w:sdtPr>
          <w:rPr>
            <w:b/>
          </w:rPr>
          <w:id w:val="-586622533"/>
          <w:citation/>
        </w:sdtPr>
        <w:sdtEndPr/>
        <w:sdtContent>
          <w:r w:rsidR="00342E21" w:rsidRPr="004A1043">
            <w:rPr>
              <w:rFonts w:ascii="Arial" w:hAnsi="Arial" w:cs="Arial"/>
              <w:b/>
              <w:sz w:val="24"/>
              <w:szCs w:val="24"/>
            </w:rPr>
            <w:fldChar w:fldCharType="begin"/>
          </w:r>
          <w:r w:rsidRPr="004A1043">
            <w:rPr>
              <w:rFonts w:ascii="Arial" w:hAnsi="Arial" w:cs="Arial"/>
              <w:b/>
              <w:sz w:val="24"/>
              <w:szCs w:val="24"/>
            </w:rPr>
            <w:instrText xml:space="preserve">CITATION Duk90 \l 2058 </w:instrText>
          </w:r>
          <w:r w:rsidR="00342E21" w:rsidRPr="004A1043">
            <w:rPr>
              <w:rFonts w:ascii="Arial" w:hAnsi="Arial" w:cs="Arial"/>
              <w:b/>
              <w:sz w:val="24"/>
              <w:szCs w:val="24"/>
            </w:rPr>
            <w:fldChar w:fldCharType="separate"/>
          </w:r>
          <w:r w:rsidR="00844EC5" w:rsidRPr="004A1043">
            <w:rPr>
              <w:rFonts w:ascii="Arial" w:hAnsi="Arial" w:cs="Arial"/>
              <w:b/>
              <w:noProof/>
              <w:sz w:val="24"/>
              <w:szCs w:val="24"/>
            </w:rPr>
            <w:t xml:space="preserve"> (Duke, 1985)</w:t>
          </w:r>
          <w:r w:rsidR="00342E21" w:rsidRPr="004A1043">
            <w:rPr>
              <w:rFonts w:ascii="Arial" w:hAnsi="Arial" w:cs="Arial"/>
              <w:b/>
              <w:sz w:val="24"/>
              <w:szCs w:val="24"/>
            </w:rPr>
            <w:fldChar w:fldCharType="end"/>
          </w:r>
        </w:sdtContent>
      </w:sdt>
      <w:r w:rsidRPr="003E6255">
        <w:rPr>
          <w:rFonts w:ascii="Arial" w:hAnsi="Arial" w:cs="Arial"/>
          <w:b/>
          <w:sz w:val="24"/>
          <w:szCs w:val="24"/>
        </w:rPr>
        <w:t>.</w:t>
      </w:r>
    </w:p>
    <w:p w14:paraId="4EA2B5EA" w14:textId="77777777" w:rsidR="005E6B8C" w:rsidRDefault="005E6B8C" w:rsidP="00D5757D">
      <w:pPr>
        <w:ind w:firstLine="720"/>
        <w:jc w:val="both"/>
        <w:rPr>
          <w:rFonts w:ascii="Arial" w:hAnsi="Arial" w:cs="Arial"/>
          <w:noProof/>
          <w:sz w:val="24"/>
          <w:szCs w:val="24"/>
        </w:rPr>
      </w:pPr>
      <w:r>
        <w:rPr>
          <w:rFonts w:ascii="Arial" w:hAnsi="Arial" w:cs="Arial"/>
          <w:noProof/>
          <w:sz w:val="24"/>
          <w:szCs w:val="24"/>
        </w:rPr>
        <w:t xml:space="preserve">La actividad farmacológica de </w:t>
      </w:r>
      <w:r w:rsidRPr="00714D72">
        <w:rPr>
          <w:rFonts w:ascii="Arial" w:hAnsi="Arial" w:cs="Arial"/>
          <w:i/>
          <w:noProof/>
          <w:sz w:val="24"/>
          <w:szCs w:val="24"/>
        </w:rPr>
        <w:t>A. moluccana</w:t>
      </w:r>
      <w:r>
        <w:rPr>
          <w:rFonts w:ascii="Arial" w:hAnsi="Arial" w:cs="Arial"/>
          <w:noProof/>
          <w:sz w:val="24"/>
          <w:szCs w:val="24"/>
        </w:rPr>
        <w:t xml:space="preserve"> ha sido evaluada contra patologías infecciosas. Por ejemplo, el extraco hidroalcóholico de la corteza de este árbol demostró tener actividad contra el virus del VIH-1</w:t>
      </w:r>
      <w:sdt>
        <w:sdtPr>
          <w:rPr>
            <w:rFonts w:ascii="Arial" w:hAnsi="Arial" w:cs="Arial"/>
            <w:b/>
            <w:noProof/>
            <w:sz w:val="24"/>
            <w:szCs w:val="24"/>
          </w:rPr>
          <w:id w:val="3437390"/>
          <w:citation/>
        </w:sdtPr>
        <w:sdtEndPr/>
        <w:sdtContent>
          <w:r w:rsidR="00342E21" w:rsidRPr="003E6255">
            <w:rPr>
              <w:rFonts w:ascii="Arial" w:hAnsi="Arial" w:cs="Arial"/>
              <w:b/>
              <w:noProof/>
              <w:sz w:val="24"/>
              <w:szCs w:val="24"/>
            </w:rPr>
            <w:fldChar w:fldCharType="begin"/>
          </w:r>
          <w:r w:rsidRPr="003E6255">
            <w:rPr>
              <w:rFonts w:ascii="Arial" w:hAnsi="Arial" w:cs="Arial"/>
              <w:b/>
              <w:noProof/>
              <w:sz w:val="24"/>
              <w:szCs w:val="24"/>
            </w:rPr>
            <w:instrText xml:space="preserve"> CITATION LOC96 \l 2058  </w:instrText>
          </w:r>
          <w:r w:rsidR="00342E21" w:rsidRPr="003E6255">
            <w:rPr>
              <w:rFonts w:ascii="Arial" w:hAnsi="Arial" w:cs="Arial"/>
              <w:b/>
              <w:noProof/>
              <w:sz w:val="24"/>
              <w:szCs w:val="24"/>
            </w:rPr>
            <w:fldChar w:fldCharType="separate"/>
          </w:r>
          <w:r w:rsidR="00844EC5">
            <w:rPr>
              <w:rFonts w:ascii="Arial" w:hAnsi="Arial" w:cs="Arial"/>
              <w:b/>
              <w:noProof/>
              <w:sz w:val="24"/>
              <w:szCs w:val="24"/>
            </w:rPr>
            <w:t xml:space="preserve"> </w:t>
          </w:r>
          <w:r w:rsidR="00844EC5" w:rsidRPr="00844EC5">
            <w:rPr>
              <w:rFonts w:ascii="Arial" w:hAnsi="Arial" w:cs="Arial"/>
              <w:noProof/>
              <w:sz w:val="24"/>
              <w:szCs w:val="24"/>
            </w:rPr>
            <w:t>(</w:t>
          </w:r>
          <w:r w:rsidR="00844EC5" w:rsidRPr="00C67727">
            <w:rPr>
              <w:rFonts w:ascii="Arial" w:hAnsi="Arial" w:cs="Arial"/>
              <w:b/>
              <w:noProof/>
              <w:sz w:val="24"/>
              <w:szCs w:val="24"/>
            </w:rPr>
            <w:t>LOCHER, et al., 1996</w:t>
          </w:r>
          <w:r w:rsidR="00844EC5" w:rsidRPr="00844EC5">
            <w:rPr>
              <w:rFonts w:ascii="Arial" w:hAnsi="Arial" w:cs="Arial"/>
              <w:noProof/>
              <w:sz w:val="24"/>
              <w:szCs w:val="24"/>
            </w:rPr>
            <w:t>)</w:t>
          </w:r>
          <w:r w:rsidR="00342E21" w:rsidRPr="003E6255">
            <w:rPr>
              <w:rFonts w:ascii="Arial" w:hAnsi="Arial" w:cs="Arial"/>
              <w:b/>
              <w:noProof/>
              <w:sz w:val="24"/>
              <w:szCs w:val="24"/>
            </w:rPr>
            <w:fldChar w:fldCharType="end"/>
          </w:r>
        </w:sdtContent>
      </w:sdt>
      <w:r w:rsidRPr="003E6255">
        <w:rPr>
          <w:rFonts w:ascii="Arial" w:hAnsi="Arial" w:cs="Arial"/>
          <w:b/>
          <w:noProof/>
          <w:sz w:val="24"/>
          <w:szCs w:val="24"/>
        </w:rPr>
        <w:t>.</w:t>
      </w:r>
      <w:r>
        <w:rPr>
          <w:rFonts w:ascii="Arial" w:hAnsi="Arial" w:cs="Arial"/>
          <w:b/>
          <w:noProof/>
          <w:sz w:val="24"/>
          <w:szCs w:val="24"/>
        </w:rPr>
        <w:t xml:space="preserve"> </w:t>
      </w:r>
      <w:r w:rsidRPr="00743735">
        <w:rPr>
          <w:rFonts w:ascii="Arial" w:hAnsi="Arial" w:cs="Arial"/>
          <w:noProof/>
          <w:sz w:val="24"/>
          <w:szCs w:val="24"/>
        </w:rPr>
        <w:t xml:space="preserve">Además de actividad antibacteriana contra </w:t>
      </w:r>
      <w:r w:rsidRPr="00743735">
        <w:rPr>
          <w:rFonts w:ascii="Arial" w:hAnsi="Arial" w:cs="Arial"/>
          <w:i/>
          <w:noProof/>
          <w:sz w:val="24"/>
          <w:szCs w:val="24"/>
        </w:rPr>
        <w:t>Sthapylococcus aureus</w:t>
      </w:r>
      <w:r w:rsidRPr="00743735">
        <w:rPr>
          <w:rFonts w:ascii="Arial" w:hAnsi="Arial" w:cs="Arial"/>
          <w:noProof/>
          <w:sz w:val="24"/>
          <w:szCs w:val="24"/>
        </w:rPr>
        <w:t xml:space="preserve"> y </w:t>
      </w:r>
      <w:r w:rsidRPr="00743735">
        <w:rPr>
          <w:rFonts w:ascii="Arial" w:hAnsi="Arial" w:cs="Arial"/>
          <w:i/>
          <w:noProof/>
          <w:sz w:val="24"/>
          <w:szCs w:val="24"/>
        </w:rPr>
        <w:t>Pseudomonas aeruginosa</w:t>
      </w:r>
      <w:sdt>
        <w:sdtPr>
          <w:rPr>
            <w:rFonts w:ascii="Arial" w:hAnsi="Arial" w:cs="Arial"/>
            <w:b/>
            <w:noProof/>
            <w:sz w:val="24"/>
            <w:szCs w:val="24"/>
          </w:rPr>
          <w:id w:val="3437393"/>
          <w:citation/>
        </w:sdtPr>
        <w:sdtEndPr/>
        <w:sdtContent>
          <w:r w:rsidR="00342E21" w:rsidRPr="003E6255">
            <w:rPr>
              <w:rFonts w:ascii="Arial" w:hAnsi="Arial" w:cs="Arial"/>
              <w:b/>
              <w:noProof/>
              <w:sz w:val="24"/>
              <w:szCs w:val="24"/>
            </w:rPr>
            <w:fldChar w:fldCharType="begin"/>
          </w:r>
          <w:r w:rsidRPr="003E6255">
            <w:rPr>
              <w:rFonts w:ascii="Arial" w:hAnsi="Arial" w:cs="Arial"/>
              <w:b/>
              <w:noProof/>
              <w:sz w:val="24"/>
              <w:szCs w:val="24"/>
            </w:rPr>
            <w:instrText xml:space="preserve"> CITATION Loc95 \l 2058  </w:instrText>
          </w:r>
          <w:r w:rsidR="00342E21" w:rsidRPr="003E6255">
            <w:rPr>
              <w:rFonts w:ascii="Arial" w:hAnsi="Arial" w:cs="Arial"/>
              <w:b/>
              <w:noProof/>
              <w:sz w:val="24"/>
              <w:szCs w:val="24"/>
            </w:rPr>
            <w:fldChar w:fldCharType="separate"/>
          </w:r>
          <w:r w:rsidR="00844EC5">
            <w:rPr>
              <w:rFonts w:ascii="Arial" w:hAnsi="Arial" w:cs="Arial"/>
              <w:b/>
              <w:noProof/>
              <w:sz w:val="24"/>
              <w:szCs w:val="24"/>
            </w:rPr>
            <w:t xml:space="preserve"> </w:t>
          </w:r>
          <w:r w:rsidR="00844EC5" w:rsidRPr="00844EC5">
            <w:rPr>
              <w:rFonts w:ascii="Arial" w:hAnsi="Arial" w:cs="Arial"/>
              <w:noProof/>
              <w:sz w:val="24"/>
              <w:szCs w:val="24"/>
            </w:rPr>
            <w:t>(</w:t>
          </w:r>
          <w:r w:rsidR="00844EC5" w:rsidRPr="00C67727">
            <w:rPr>
              <w:rFonts w:ascii="Arial" w:hAnsi="Arial" w:cs="Arial"/>
              <w:b/>
              <w:noProof/>
              <w:sz w:val="24"/>
              <w:szCs w:val="24"/>
            </w:rPr>
            <w:t>Locher, et al., 1995</w:t>
          </w:r>
          <w:r w:rsidR="00844EC5" w:rsidRPr="00844EC5">
            <w:rPr>
              <w:rFonts w:ascii="Arial" w:hAnsi="Arial" w:cs="Arial"/>
              <w:noProof/>
              <w:sz w:val="24"/>
              <w:szCs w:val="24"/>
            </w:rPr>
            <w:t>)</w:t>
          </w:r>
          <w:r w:rsidR="00342E21" w:rsidRPr="003E6255">
            <w:rPr>
              <w:rFonts w:ascii="Arial" w:hAnsi="Arial" w:cs="Arial"/>
              <w:b/>
              <w:noProof/>
              <w:sz w:val="24"/>
              <w:szCs w:val="24"/>
            </w:rPr>
            <w:fldChar w:fldCharType="end"/>
          </w:r>
        </w:sdtContent>
      </w:sdt>
      <w:r w:rsidRPr="008067EC">
        <w:rPr>
          <w:rFonts w:ascii="Arial" w:hAnsi="Arial" w:cs="Arial"/>
          <w:b/>
          <w:noProof/>
          <w:sz w:val="24"/>
          <w:szCs w:val="24"/>
        </w:rPr>
        <w:t xml:space="preserve">. </w:t>
      </w:r>
      <w:r>
        <w:rPr>
          <w:rFonts w:ascii="Arial" w:hAnsi="Arial" w:cs="Arial"/>
          <w:noProof/>
          <w:sz w:val="24"/>
          <w:szCs w:val="24"/>
        </w:rPr>
        <w:t xml:space="preserve">Por otra parte, el extracto metanólico de </w:t>
      </w:r>
      <w:r w:rsidRPr="00EE109A">
        <w:rPr>
          <w:rFonts w:ascii="Arial" w:hAnsi="Arial" w:cs="Arial"/>
          <w:i/>
          <w:noProof/>
          <w:sz w:val="24"/>
          <w:szCs w:val="24"/>
        </w:rPr>
        <w:t>A. moluccana</w:t>
      </w:r>
      <w:r>
        <w:rPr>
          <w:rFonts w:ascii="Arial" w:hAnsi="Arial" w:cs="Arial"/>
          <w:i/>
          <w:noProof/>
          <w:sz w:val="24"/>
          <w:szCs w:val="24"/>
        </w:rPr>
        <w:t xml:space="preserve"> </w:t>
      </w:r>
      <w:r>
        <w:rPr>
          <w:rFonts w:ascii="Arial" w:hAnsi="Arial" w:cs="Arial"/>
          <w:noProof/>
          <w:sz w:val="24"/>
          <w:szCs w:val="24"/>
        </w:rPr>
        <w:t xml:space="preserve">(MEAM, por sus siglas en inglés) demostró tener  efecto </w:t>
      </w:r>
      <w:r w:rsidRPr="00EE109A">
        <w:rPr>
          <w:rFonts w:ascii="Arial" w:hAnsi="Arial" w:cs="Arial"/>
          <w:noProof/>
          <w:sz w:val="24"/>
          <w:szCs w:val="24"/>
        </w:rPr>
        <w:t>anticolesterolémico</w:t>
      </w:r>
      <w:r>
        <w:rPr>
          <w:rFonts w:ascii="Arial" w:hAnsi="Arial" w:cs="Arial"/>
          <w:noProof/>
          <w:sz w:val="24"/>
          <w:szCs w:val="24"/>
        </w:rPr>
        <w:t xml:space="preserve"> el cual podría estarse llevando a cabo mediante una inhibición en la síntesis hepática del colesterol.</w:t>
      </w:r>
    </w:p>
    <w:p w14:paraId="53299E5C" w14:textId="77777777" w:rsidR="005E6B8C" w:rsidRDefault="005E6B8C" w:rsidP="00D5757D">
      <w:pPr>
        <w:ind w:firstLine="720"/>
        <w:jc w:val="both"/>
        <w:rPr>
          <w:rFonts w:ascii="Arial" w:hAnsi="Arial" w:cs="Arial"/>
          <w:b/>
          <w:sz w:val="24"/>
          <w:szCs w:val="24"/>
        </w:rPr>
      </w:pPr>
      <w:r w:rsidRPr="00823E7B">
        <w:rPr>
          <w:rFonts w:ascii="Arial" w:hAnsi="Arial" w:cs="Arial"/>
          <w:sz w:val="24"/>
          <w:szCs w:val="24"/>
        </w:rPr>
        <w:lastRenderedPageBreak/>
        <w:t xml:space="preserve">Aunque se muestra a </w:t>
      </w:r>
      <w:proofErr w:type="spellStart"/>
      <w:r w:rsidRPr="00823E7B">
        <w:rPr>
          <w:rFonts w:ascii="Arial" w:hAnsi="Arial" w:cs="Arial"/>
          <w:i/>
          <w:sz w:val="24"/>
          <w:szCs w:val="24"/>
        </w:rPr>
        <w:t>Aleurites</w:t>
      </w:r>
      <w:proofErr w:type="spellEnd"/>
      <w:r w:rsidRPr="00823E7B">
        <w:rPr>
          <w:rFonts w:ascii="Arial" w:hAnsi="Arial" w:cs="Arial"/>
          <w:i/>
          <w:sz w:val="24"/>
          <w:szCs w:val="24"/>
        </w:rPr>
        <w:t xml:space="preserve"> </w:t>
      </w:r>
      <w:proofErr w:type="spellStart"/>
      <w:r>
        <w:rPr>
          <w:rFonts w:ascii="Arial" w:hAnsi="Arial" w:cs="Arial"/>
          <w:i/>
          <w:sz w:val="24"/>
          <w:szCs w:val="24"/>
        </w:rPr>
        <w:t>moluccana</w:t>
      </w:r>
      <w:proofErr w:type="spellEnd"/>
      <w:r>
        <w:rPr>
          <w:rFonts w:ascii="Arial" w:hAnsi="Arial" w:cs="Arial"/>
          <w:i/>
          <w:sz w:val="24"/>
          <w:szCs w:val="24"/>
        </w:rPr>
        <w:t xml:space="preserve"> </w:t>
      </w:r>
      <w:r>
        <w:rPr>
          <w:rFonts w:ascii="Arial" w:hAnsi="Arial" w:cs="Arial"/>
          <w:sz w:val="24"/>
          <w:szCs w:val="24"/>
        </w:rPr>
        <w:t>como un árbol</w:t>
      </w:r>
      <w:r w:rsidRPr="00823E7B">
        <w:rPr>
          <w:rFonts w:ascii="Arial" w:hAnsi="Arial" w:cs="Arial"/>
          <w:sz w:val="24"/>
          <w:szCs w:val="24"/>
        </w:rPr>
        <w:t xml:space="preserve"> con múltiples beneficios y evidencia de algunos de ellos, se encuentran disponibles escasos estudios</w:t>
      </w:r>
      <w:r>
        <w:rPr>
          <w:rFonts w:ascii="Arial" w:hAnsi="Arial" w:cs="Arial"/>
          <w:sz w:val="24"/>
          <w:szCs w:val="24"/>
        </w:rPr>
        <w:t xml:space="preserve"> formales que determinan su toxicidad, específicamente de las semillas provenientes de este árbol. </w:t>
      </w:r>
      <w:r w:rsidRPr="00823E7B">
        <w:rPr>
          <w:rFonts w:ascii="Arial" w:hAnsi="Arial" w:cs="Arial"/>
          <w:sz w:val="24"/>
          <w:szCs w:val="24"/>
        </w:rPr>
        <w:t xml:space="preserve">Estudios relacionados con la toxicidad de </w:t>
      </w:r>
      <w:proofErr w:type="spellStart"/>
      <w:r w:rsidRPr="00823E7B">
        <w:rPr>
          <w:rFonts w:ascii="Arial" w:hAnsi="Arial" w:cs="Arial"/>
          <w:i/>
          <w:sz w:val="24"/>
          <w:szCs w:val="24"/>
        </w:rPr>
        <w:t>Aleurites</w:t>
      </w:r>
      <w:proofErr w:type="spellEnd"/>
      <w:r w:rsidRPr="00823E7B">
        <w:rPr>
          <w:rFonts w:ascii="Arial" w:hAnsi="Arial" w:cs="Arial"/>
          <w:i/>
          <w:sz w:val="24"/>
          <w:szCs w:val="24"/>
        </w:rPr>
        <w:t xml:space="preserve"> </w:t>
      </w:r>
      <w:proofErr w:type="spellStart"/>
      <w:r w:rsidRPr="00823E7B">
        <w:rPr>
          <w:rFonts w:ascii="Arial" w:hAnsi="Arial" w:cs="Arial"/>
          <w:i/>
          <w:sz w:val="24"/>
          <w:szCs w:val="24"/>
        </w:rPr>
        <w:t>moluccan</w:t>
      </w:r>
      <w:r>
        <w:rPr>
          <w:rFonts w:ascii="Arial" w:hAnsi="Arial" w:cs="Arial"/>
          <w:i/>
          <w:sz w:val="24"/>
          <w:szCs w:val="24"/>
        </w:rPr>
        <w:t>a</w:t>
      </w:r>
      <w:proofErr w:type="spellEnd"/>
      <w:r w:rsidRPr="00823E7B">
        <w:rPr>
          <w:rFonts w:ascii="Arial" w:hAnsi="Arial" w:cs="Arial"/>
          <w:sz w:val="24"/>
          <w:szCs w:val="24"/>
        </w:rPr>
        <w:t xml:space="preserve"> informaron que las </w:t>
      </w:r>
      <w:proofErr w:type="spellStart"/>
      <w:r w:rsidRPr="00823E7B">
        <w:rPr>
          <w:rFonts w:ascii="Arial" w:hAnsi="Arial" w:cs="Arial"/>
          <w:sz w:val="24"/>
          <w:szCs w:val="24"/>
        </w:rPr>
        <w:t>Euphorbiaceaes</w:t>
      </w:r>
      <w:proofErr w:type="spellEnd"/>
      <w:r w:rsidRPr="00823E7B">
        <w:rPr>
          <w:rFonts w:ascii="Arial" w:hAnsi="Arial" w:cs="Arial"/>
          <w:sz w:val="24"/>
          <w:szCs w:val="24"/>
        </w:rPr>
        <w:t xml:space="preserve"> contienen diterpenos tóxicos, como los ésteres de forbol, los cuales incluso a concentraciones muy bajas, muestran manifestaciones toxicológicas en animales alimentados con dietas que los contienen</w:t>
      </w:r>
      <w:sdt>
        <w:sdtPr>
          <w:rPr>
            <w:rFonts w:ascii="Arial" w:hAnsi="Arial" w:cs="Arial"/>
            <w:b/>
            <w:sz w:val="24"/>
            <w:szCs w:val="24"/>
          </w:rPr>
          <w:id w:val="-1282865799"/>
          <w:citation/>
        </w:sdtPr>
        <w:sdtEndPr/>
        <w:sdtContent>
          <w:r w:rsidR="00342E21" w:rsidRPr="004A1043">
            <w:rPr>
              <w:rFonts w:ascii="Arial" w:hAnsi="Arial" w:cs="Arial"/>
              <w:b/>
              <w:sz w:val="24"/>
              <w:szCs w:val="24"/>
            </w:rPr>
            <w:fldChar w:fldCharType="begin"/>
          </w:r>
          <w:r w:rsidRPr="004A1043">
            <w:rPr>
              <w:rFonts w:ascii="Arial" w:hAnsi="Arial" w:cs="Arial"/>
              <w:b/>
              <w:sz w:val="24"/>
              <w:szCs w:val="24"/>
            </w:rPr>
            <w:instrText xml:space="preserve"> CITATION GGo07 \l 2058 </w:instrText>
          </w:r>
          <w:r w:rsidR="00342E21" w:rsidRPr="004A1043">
            <w:rPr>
              <w:rFonts w:ascii="Arial" w:hAnsi="Arial" w:cs="Arial"/>
              <w:b/>
              <w:sz w:val="24"/>
              <w:szCs w:val="24"/>
            </w:rPr>
            <w:fldChar w:fldCharType="separate"/>
          </w:r>
          <w:r w:rsidR="00844EC5" w:rsidRPr="004A1043">
            <w:rPr>
              <w:rFonts w:ascii="Arial" w:hAnsi="Arial" w:cs="Arial"/>
              <w:b/>
              <w:noProof/>
              <w:sz w:val="24"/>
              <w:szCs w:val="24"/>
            </w:rPr>
            <w:t xml:space="preserve"> (G. Goel, 2007)</w:t>
          </w:r>
          <w:r w:rsidR="00342E21" w:rsidRPr="004A1043">
            <w:rPr>
              <w:rFonts w:ascii="Arial" w:hAnsi="Arial" w:cs="Arial"/>
              <w:b/>
              <w:sz w:val="24"/>
              <w:szCs w:val="24"/>
            </w:rPr>
            <w:fldChar w:fldCharType="end"/>
          </w:r>
        </w:sdtContent>
      </w:sdt>
      <w:r w:rsidRPr="008067EC">
        <w:rPr>
          <w:rFonts w:ascii="Arial" w:hAnsi="Arial" w:cs="Arial"/>
          <w:b/>
          <w:sz w:val="24"/>
          <w:szCs w:val="24"/>
        </w:rPr>
        <w:t>.</w:t>
      </w:r>
    </w:p>
    <w:p w14:paraId="7EAD0CC7" w14:textId="77777777" w:rsidR="00947E8A" w:rsidRDefault="005E6B8C" w:rsidP="00D5757D">
      <w:pPr>
        <w:ind w:firstLine="720"/>
        <w:jc w:val="both"/>
        <w:rPr>
          <w:rFonts w:ascii="Arial" w:hAnsi="Arial" w:cs="Arial"/>
          <w:color w:val="000000" w:themeColor="text1"/>
          <w:sz w:val="24"/>
          <w:szCs w:val="24"/>
        </w:rPr>
      </w:pPr>
      <w:r w:rsidRPr="005E6B8C">
        <w:rPr>
          <w:rFonts w:ascii="Arial" w:hAnsi="Arial" w:cs="Arial"/>
          <w:sz w:val="24"/>
          <w:szCs w:val="24"/>
        </w:rPr>
        <w:t xml:space="preserve">Actualmente en la ciudad de Tepic, Nayarit se encuentra disponible en el mercado un producto denominado “almendra quema grasa” (semillas </w:t>
      </w:r>
      <w:proofErr w:type="spellStart"/>
      <w:r w:rsidRPr="0043101F">
        <w:rPr>
          <w:rFonts w:ascii="Arial" w:hAnsi="Arial" w:cs="Arial"/>
          <w:i/>
          <w:sz w:val="24"/>
          <w:szCs w:val="24"/>
        </w:rPr>
        <w:t>Aleurites</w:t>
      </w:r>
      <w:proofErr w:type="spellEnd"/>
      <w:r w:rsidRPr="0043101F">
        <w:rPr>
          <w:rFonts w:ascii="Arial" w:hAnsi="Arial" w:cs="Arial"/>
          <w:i/>
          <w:sz w:val="24"/>
          <w:szCs w:val="24"/>
        </w:rPr>
        <w:t xml:space="preserve"> </w:t>
      </w:r>
      <w:proofErr w:type="spellStart"/>
      <w:r w:rsidRPr="0043101F">
        <w:rPr>
          <w:rFonts w:ascii="Arial" w:hAnsi="Arial" w:cs="Arial"/>
          <w:i/>
          <w:sz w:val="24"/>
          <w:szCs w:val="24"/>
        </w:rPr>
        <w:t>moluccana</w:t>
      </w:r>
      <w:proofErr w:type="spellEnd"/>
      <w:r w:rsidRPr="005E6B8C">
        <w:rPr>
          <w:rFonts w:ascii="Arial" w:hAnsi="Arial" w:cs="Arial"/>
          <w:sz w:val="24"/>
          <w:szCs w:val="24"/>
        </w:rPr>
        <w:t>) al cual se le atribuyen múltiples efectos benéficos. Sin embargo, no se han reportado estudios preclínicos o</w:t>
      </w:r>
      <w:r w:rsidR="0043101F">
        <w:rPr>
          <w:rFonts w:ascii="Arial" w:hAnsi="Arial" w:cs="Arial"/>
          <w:sz w:val="24"/>
          <w:szCs w:val="24"/>
        </w:rPr>
        <w:t xml:space="preserve"> </w:t>
      </w:r>
      <w:r w:rsidRPr="005E6B8C">
        <w:rPr>
          <w:rFonts w:ascii="Arial" w:hAnsi="Arial" w:cs="Arial"/>
          <w:sz w:val="24"/>
          <w:szCs w:val="24"/>
        </w:rPr>
        <w:t>clínicos que puedan validar dichas declaraciones hechas por algunas compañías o distribuidores sobre el valor terapéutico de las semillas, incluyendo su uso para bajar de peso</w:t>
      </w:r>
      <w:r w:rsidR="00947E8A">
        <w:rPr>
          <w:rFonts w:ascii="Arial" w:hAnsi="Arial" w:cs="Arial"/>
          <w:color w:val="000000" w:themeColor="text1"/>
          <w:sz w:val="24"/>
          <w:szCs w:val="24"/>
        </w:rPr>
        <w:t>.</w:t>
      </w:r>
    </w:p>
    <w:p w14:paraId="4FD03AEF" w14:textId="77777777" w:rsidR="00947E8A" w:rsidRDefault="00947E8A" w:rsidP="00D5757D">
      <w:pPr>
        <w:ind w:firstLine="720"/>
        <w:jc w:val="both"/>
        <w:rPr>
          <w:rFonts w:ascii="Arial" w:hAnsi="Arial" w:cs="Arial"/>
          <w:color w:val="000000" w:themeColor="text1"/>
          <w:sz w:val="24"/>
          <w:szCs w:val="24"/>
        </w:rPr>
      </w:pPr>
      <w:r w:rsidRPr="00994A9D">
        <w:rPr>
          <w:rFonts w:ascii="Arial" w:hAnsi="Arial" w:cs="Arial"/>
          <w:color w:val="000000" w:themeColor="text1"/>
          <w:sz w:val="24"/>
          <w:szCs w:val="24"/>
        </w:rPr>
        <w:t>De forma indiscriminada y sin ningún estudio previo que le avale, se re</w:t>
      </w:r>
      <w:r>
        <w:rPr>
          <w:rFonts w:ascii="Arial" w:hAnsi="Arial" w:cs="Arial"/>
          <w:color w:val="000000" w:themeColor="text1"/>
          <w:sz w:val="24"/>
          <w:szCs w:val="24"/>
        </w:rPr>
        <w:t>comienda la ingestión de 1/8 a 1/4</w:t>
      </w:r>
      <w:r w:rsidR="003E6255">
        <w:rPr>
          <w:rFonts w:ascii="Arial" w:hAnsi="Arial" w:cs="Arial"/>
          <w:color w:val="000000" w:themeColor="text1"/>
          <w:sz w:val="24"/>
          <w:szCs w:val="24"/>
        </w:rPr>
        <w:t xml:space="preserve"> de semilla de “semilla de Brasil</w:t>
      </w:r>
      <w:r w:rsidRPr="00994A9D">
        <w:rPr>
          <w:rFonts w:ascii="Arial" w:hAnsi="Arial" w:cs="Arial"/>
          <w:color w:val="000000" w:themeColor="text1"/>
          <w:sz w:val="24"/>
          <w:szCs w:val="24"/>
        </w:rPr>
        <w:t>”, dato que no es cuantificable con relación al peso de la se</w:t>
      </w:r>
      <w:r>
        <w:rPr>
          <w:rFonts w:ascii="Arial" w:hAnsi="Arial" w:cs="Arial"/>
          <w:color w:val="000000" w:themeColor="text1"/>
          <w:sz w:val="24"/>
          <w:szCs w:val="24"/>
        </w:rPr>
        <w:t xml:space="preserve">milla (siendo este variable) o su contenido metabólico, todo ello a manera de sugerencia sin establecer límites permisibles de consumo. </w:t>
      </w:r>
    </w:p>
    <w:p w14:paraId="0271BA6B" w14:textId="77777777" w:rsidR="00947E8A" w:rsidRPr="00947E8A" w:rsidRDefault="00947E8A" w:rsidP="00947E8A">
      <w:pPr>
        <w:ind w:firstLine="360"/>
        <w:jc w:val="both"/>
        <w:rPr>
          <w:rFonts w:ascii="Arial" w:hAnsi="Arial" w:cs="Arial"/>
          <w:color w:val="000000" w:themeColor="text1"/>
          <w:sz w:val="24"/>
          <w:szCs w:val="24"/>
        </w:rPr>
      </w:pPr>
      <w:r w:rsidRPr="00947E8A">
        <w:rPr>
          <w:rFonts w:ascii="Arial" w:hAnsi="Arial" w:cs="Arial"/>
          <w:color w:val="000000" w:themeColor="text1"/>
          <w:sz w:val="24"/>
          <w:szCs w:val="24"/>
        </w:rPr>
        <w:t>El 20 de junio del 2016, el titular de la Secretaría de Salud, señaló que la dependencia a su cargo no prohibirá el consumo de la Semilla de Brasil hasta que no haya un dictamen de la Comisión Federal para la Prevención de Riesgos Sanitarios (COFEPRIS) que afirme que es dañina para la salud. El funcionario detalló que no puede asegurar que este “producto milagro” esté ligado a algunos de los efectos secundarios que han manifestado algunos de sus usuarios, ya que su comercialización y consumo no están penados por las autoridades sanitarias</w:t>
      </w:r>
      <w:sdt>
        <w:sdtPr>
          <w:rPr>
            <w:rFonts w:ascii="Arial" w:hAnsi="Arial" w:cs="Arial"/>
            <w:b/>
            <w:color w:val="000000" w:themeColor="text1"/>
            <w:sz w:val="24"/>
            <w:szCs w:val="24"/>
          </w:rPr>
          <w:id w:val="312918639"/>
          <w:citation/>
        </w:sdtPr>
        <w:sdtEndPr/>
        <w:sdtContent>
          <w:r w:rsidR="00342E21" w:rsidRPr="004A1043">
            <w:rPr>
              <w:rFonts w:ascii="Arial" w:hAnsi="Arial" w:cs="Arial"/>
              <w:b/>
              <w:color w:val="000000" w:themeColor="text1"/>
              <w:sz w:val="24"/>
              <w:szCs w:val="24"/>
            </w:rPr>
            <w:fldChar w:fldCharType="begin"/>
          </w:r>
          <w:r w:rsidRPr="004A1043">
            <w:rPr>
              <w:rFonts w:ascii="Arial" w:hAnsi="Arial" w:cs="Arial"/>
              <w:b/>
              <w:color w:val="000000" w:themeColor="text1"/>
              <w:sz w:val="24"/>
              <w:szCs w:val="24"/>
            </w:rPr>
            <w:instrText xml:space="preserve">CITATION Lui161 \l 2058 </w:instrText>
          </w:r>
          <w:r w:rsidR="00342E21" w:rsidRPr="004A1043">
            <w:rPr>
              <w:rFonts w:ascii="Arial" w:hAnsi="Arial" w:cs="Arial"/>
              <w:b/>
              <w:color w:val="000000" w:themeColor="text1"/>
              <w:sz w:val="24"/>
              <w:szCs w:val="24"/>
            </w:rPr>
            <w:fldChar w:fldCharType="separate"/>
          </w:r>
          <w:r w:rsidR="00844EC5" w:rsidRPr="004A1043">
            <w:rPr>
              <w:rFonts w:ascii="Arial" w:hAnsi="Arial" w:cs="Arial"/>
              <w:b/>
              <w:noProof/>
              <w:color w:val="000000" w:themeColor="text1"/>
              <w:sz w:val="24"/>
              <w:szCs w:val="24"/>
            </w:rPr>
            <w:t xml:space="preserve"> (Cataño, 2016)</w:t>
          </w:r>
          <w:r w:rsidR="00342E21" w:rsidRPr="004A1043">
            <w:rPr>
              <w:rFonts w:ascii="Arial" w:hAnsi="Arial" w:cs="Arial"/>
              <w:b/>
              <w:color w:val="000000" w:themeColor="text1"/>
              <w:sz w:val="24"/>
              <w:szCs w:val="24"/>
            </w:rPr>
            <w:fldChar w:fldCharType="end"/>
          </w:r>
        </w:sdtContent>
      </w:sdt>
      <w:r w:rsidRPr="004A1043">
        <w:rPr>
          <w:rFonts w:ascii="Arial" w:hAnsi="Arial" w:cs="Arial"/>
          <w:b/>
          <w:color w:val="000000" w:themeColor="text1"/>
          <w:sz w:val="24"/>
          <w:szCs w:val="24"/>
        </w:rPr>
        <w:t>.</w:t>
      </w:r>
    </w:p>
    <w:p w14:paraId="60095B4F" w14:textId="43F7DD4E" w:rsidR="00947E8A" w:rsidRDefault="00947E8A" w:rsidP="00947E8A">
      <w:pPr>
        <w:ind w:firstLine="360"/>
        <w:jc w:val="both"/>
        <w:rPr>
          <w:rFonts w:ascii="Arial" w:hAnsi="Arial" w:cs="Arial"/>
          <w:color w:val="000000" w:themeColor="text1"/>
          <w:sz w:val="24"/>
          <w:szCs w:val="24"/>
        </w:rPr>
      </w:pPr>
      <w:r w:rsidRPr="00994A9D">
        <w:rPr>
          <w:rFonts w:ascii="Arial" w:hAnsi="Arial" w:cs="Arial"/>
          <w:color w:val="000000" w:themeColor="text1"/>
          <w:sz w:val="24"/>
          <w:szCs w:val="24"/>
        </w:rPr>
        <w:t xml:space="preserve">Debido al riesgo de salud que implica el uso de remedios herbolarios sin verificación de su calidad, eficacia y sobre todo seguridad, el presente proyecto se justifica basándose en la compilación de datos recabados antes mencionados, con los cuales se sustenta la falta de estudios </w:t>
      </w:r>
      <w:r>
        <w:rPr>
          <w:rFonts w:ascii="Arial" w:hAnsi="Arial" w:cs="Arial"/>
          <w:color w:val="000000" w:themeColor="text1"/>
          <w:sz w:val="24"/>
          <w:szCs w:val="24"/>
        </w:rPr>
        <w:t xml:space="preserve">en México e incluso otros países donde </w:t>
      </w:r>
      <w:proofErr w:type="spellStart"/>
      <w:r w:rsidRPr="003E6255">
        <w:rPr>
          <w:rFonts w:ascii="Arial" w:hAnsi="Arial" w:cs="Arial"/>
          <w:i/>
          <w:color w:val="000000" w:themeColor="text1"/>
          <w:sz w:val="24"/>
          <w:szCs w:val="24"/>
        </w:rPr>
        <w:t>Aleurites</w:t>
      </w:r>
      <w:proofErr w:type="spellEnd"/>
      <w:r w:rsidRPr="003E6255">
        <w:rPr>
          <w:rFonts w:ascii="Arial" w:hAnsi="Arial" w:cs="Arial"/>
          <w:i/>
          <w:color w:val="000000" w:themeColor="text1"/>
          <w:sz w:val="24"/>
          <w:szCs w:val="24"/>
        </w:rPr>
        <w:t xml:space="preserve"> </w:t>
      </w:r>
      <w:proofErr w:type="spellStart"/>
      <w:r w:rsidRPr="003E6255">
        <w:rPr>
          <w:rFonts w:ascii="Arial" w:hAnsi="Arial" w:cs="Arial"/>
          <w:i/>
          <w:color w:val="000000" w:themeColor="text1"/>
          <w:sz w:val="24"/>
          <w:szCs w:val="24"/>
        </w:rPr>
        <w:t>moluccana</w:t>
      </w:r>
      <w:proofErr w:type="spellEnd"/>
      <w:r w:rsidRPr="00947E8A">
        <w:rPr>
          <w:rFonts w:ascii="Arial" w:hAnsi="Arial" w:cs="Arial"/>
          <w:color w:val="000000" w:themeColor="text1"/>
          <w:sz w:val="24"/>
          <w:szCs w:val="24"/>
        </w:rPr>
        <w:t xml:space="preserve"> </w:t>
      </w:r>
      <w:r>
        <w:rPr>
          <w:rFonts w:ascii="Arial" w:hAnsi="Arial" w:cs="Arial"/>
          <w:color w:val="000000" w:themeColor="text1"/>
          <w:sz w:val="24"/>
          <w:szCs w:val="24"/>
        </w:rPr>
        <w:t xml:space="preserve">es comercializada. </w:t>
      </w:r>
      <w:r w:rsidRPr="00994A9D">
        <w:rPr>
          <w:rFonts w:ascii="Arial" w:hAnsi="Arial" w:cs="Arial"/>
          <w:color w:val="000000" w:themeColor="text1"/>
          <w:sz w:val="24"/>
          <w:szCs w:val="24"/>
        </w:rPr>
        <w:t xml:space="preserve">Por ello es de suma importancia </w:t>
      </w:r>
      <w:r>
        <w:rPr>
          <w:rFonts w:ascii="Arial" w:hAnsi="Arial" w:cs="Arial"/>
          <w:color w:val="000000" w:themeColor="text1"/>
          <w:sz w:val="24"/>
          <w:szCs w:val="24"/>
        </w:rPr>
        <w:t xml:space="preserve">proporcionar un estudio formal en el país, que permita </w:t>
      </w:r>
      <w:r w:rsidRPr="00994A9D">
        <w:rPr>
          <w:rFonts w:ascii="Arial" w:hAnsi="Arial" w:cs="Arial"/>
          <w:color w:val="000000" w:themeColor="text1"/>
          <w:sz w:val="24"/>
          <w:szCs w:val="24"/>
        </w:rPr>
        <w:t xml:space="preserve">clasificar acorde al sistema GSH a </w:t>
      </w:r>
      <w:proofErr w:type="spellStart"/>
      <w:r w:rsidR="003E6255" w:rsidRPr="003E6255">
        <w:rPr>
          <w:rFonts w:ascii="Arial" w:hAnsi="Arial" w:cs="Arial"/>
          <w:i/>
          <w:color w:val="000000" w:themeColor="text1"/>
          <w:sz w:val="24"/>
          <w:szCs w:val="24"/>
        </w:rPr>
        <w:t>A</w:t>
      </w:r>
      <w:proofErr w:type="spellEnd"/>
      <w:r w:rsidR="003E6255" w:rsidRPr="003E6255">
        <w:rPr>
          <w:rFonts w:ascii="Arial" w:hAnsi="Arial" w:cs="Arial"/>
          <w:i/>
          <w:color w:val="000000" w:themeColor="text1"/>
          <w:sz w:val="24"/>
          <w:szCs w:val="24"/>
        </w:rPr>
        <w:t>.</w:t>
      </w:r>
      <w:r w:rsidRPr="003E6255">
        <w:rPr>
          <w:rFonts w:ascii="Arial" w:hAnsi="Arial" w:cs="Arial"/>
          <w:i/>
          <w:color w:val="000000" w:themeColor="text1"/>
          <w:sz w:val="24"/>
          <w:szCs w:val="24"/>
        </w:rPr>
        <w:t xml:space="preserve"> </w:t>
      </w:r>
      <w:proofErr w:type="spellStart"/>
      <w:r w:rsidRPr="003E6255">
        <w:rPr>
          <w:rFonts w:ascii="Arial" w:hAnsi="Arial" w:cs="Arial"/>
          <w:i/>
          <w:color w:val="000000" w:themeColor="text1"/>
          <w:sz w:val="24"/>
          <w:szCs w:val="24"/>
        </w:rPr>
        <w:t>moluccana</w:t>
      </w:r>
      <w:proofErr w:type="spellEnd"/>
      <w:r w:rsidRPr="00947E8A">
        <w:rPr>
          <w:rFonts w:ascii="Arial" w:hAnsi="Arial" w:cs="Arial"/>
          <w:color w:val="000000" w:themeColor="text1"/>
          <w:sz w:val="24"/>
          <w:szCs w:val="24"/>
        </w:rPr>
        <w:t xml:space="preserve"> </w:t>
      </w:r>
      <w:r>
        <w:rPr>
          <w:rFonts w:ascii="Arial" w:hAnsi="Arial" w:cs="Arial"/>
          <w:color w:val="000000" w:themeColor="text1"/>
          <w:sz w:val="24"/>
          <w:szCs w:val="24"/>
        </w:rPr>
        <w:t>el cual establezca</w:t>
      </w:r>
      <w:r w:rsidRPr="00994A9D">
        <w:rPr>
          <w:rFonts w:ascii="Arial" w:hAnsi="Arial" w:cs="Arial"/>
          <w:color w:val="000000" w:themeColor="text1"/>
          <w:sz w:val="24"/>
          <w:szCs w:val="24"/>
        </w:rPr>
        <w:t xml:space="preserve"> las bases que </w:t>
      </w:r>
      <w:r>
        <w:rPr>
          <w:rFonts w:ascii="Arial" w:hAnsi="Arial" w:cs="Arial"/>
          <w:color w:val="000000" w:themeColor="text1"/>
          <w:sz w:val="24"/>
          <w:szCs w:val="24"/>
        </w:rPr>
        <w:t>prueben su toxicidad con las cuales</w:t>
      </w:r>
      <w:r w:rsidRPr="00994A9D">
        <w:rPr>
          <w:rFonts w:ascii="Arial" w:hAnsi="Arial" w:cs="Arial"/>
          <w:color w:val="000000" w:themeColor="text1"/>
          <w:sz w:val="24"/>
          <w:szCs w:val="24"/>
        </w:rPr>
        <w:t xml:space="preserve"> pueda ser etiquetada para alertar al consumidor e instancias gubernamentales </w:t>
      </w:r>
      <w:r>
        <w:rPr>
          <w:rFonts w:ascii="Arial" w:hAnsi="Arial" w:cs="Arial"/>
          <w:color w:val="000000" w:themeColor="text1"/>
          <w:sz w:val="24"/>
          <w:szCs w:val="24"/>
        </w:rPr>
        <w:t xml:space="preserve">de </w:t>
      </w:r>
      <w:r w:rsidRPr="00994A9D">
        <w:rPr>
          <w:rFonts w:ascii="Arial" w:hAnsi="Arial" w:cs="Arial"/>
          <w:color w:val="000000" w:themeColor="text1"/>
          <w:sz w:val="24"/>
          <w:szCs w:val="24"/>
        </w:rPr>
        <w:t>los riesgos que con</w:t>
      </w:r>
      <w:r>
        <w:rPr>
          <w:rFonts w:ascii="Arial" w:hAnsi="Arial" w:cs="Arial"/>
          <w:color w:val="000000" w:themeColor="text1"/>
          <w:sz w:val="24"/>
          <w:szCs w:val="24"/>
        </w:rPr>
        <w:t>lleva el consumo de esta planta; permitiendo evaluar la relación riesgo-</w:t>
      </w:r>
      <w:r w:rsidRPr="00994A9D">
        <w:rPr>
          <w:rFonts w:ascii="Arial" w:hAnsi="Arial" w:cs="Arial"/>
          <w:color w:val="000000" w:themeColor="text1"/>
          <w:sz w:val="24"/>
          <w:szCs w:val="24"/>
        </w:rPr>
        <w:t>beneficio y la p</w:t>
      </w:r>
      <w:r>
        <w:rPr>
          <w:rFonts w:ascii="Arial" w:hAnsi="Arial" w:cs="Arial"/>
          <w:color w:val="000000" w:themeColor="text1"/>
          <w:sz w:val="24"/>
          <w:szCs w:val="24"/>
        </w:rPr>
        <w:t xml:space="preserve">osibilidad de que la población </w:t>
      </w:r>
      <w:r w:rsidR="001764DD">
        <w:rPr>
          <w:rFonts w:ascii="Arial" w:hAnsi="Arial" w:cs="Arial"/>
          <w:color w:val="000000" w:themeColor="text1"/>
          <w:sz w:val="24"/>
          <w:szCs w:val="24"/>
        </w:rPr>
        <w:t>mexicana</w:t>
      </w:r>
      <w:r w:rsidRPr="00994A9D">
        <w:rPr>
          <w:rFonts w:ascii="Arial" w:hAnsi="Arial" w:cs="Arial"/>
          <w:color w:val="000000" w:themeColor="text1"/>
          <w:sz w:val="24"/>
          <w:szCs w:val="24"/>
        </w:rPr>
        <w:t xml:space="preserve"> lo utilice.</w:t>
      </w:r>
    </w:p>
    <w:p w14:paraId="6200C7A2" w14:textId="77777777" w:rsidR="00947E8A" w:rsidRPr="00947E8A" w:rsidRDefault="00947E8A" w:rsidP="00247936">
      <w:pPr>
        <w:ind w:firstLine="360"/>
        <w:jc w:val="both"/>
        <w:rPr>
          <w:rFonts w:ascii="Arial" w:hAnsi="Arial" w:cs="Arial"/>
          <w:color w:val="000000" w:themeColor="text1"/>
          <w:sz w:val="24"/>
          <w:szCs w:val="24"/>
        </w:rPr>
      </w:pPr>
      <w:r w:rsidRPr="00947E8A">
        <w:rPr>
          <w:rFonts w:ascii="Arial" w:hAnsi="Arial" w:cs="Arial"/>
          <w:color w:val="000000" w:themeColor="text1"/>
          <w:sz w:val="24"/>
          <w:szCs w:val="24"/>
        </w:rPr>
        <w:t>El objetivo del presente trabajo fue evaluar la toxicidad oral aguda del extracto obtenido se las semillas</w:t>
      </w:r>
      <w:r>
        <w:rPr>
          <w:rFonts w:ascii="Arial" w:hAnsi="Arial" w:cs="Arial"/>
          <w:color w:val="000000" w:themeColor="text1"/>
          <w:sz w:val="24"/>
          <w:szCs w:val="24"/>
        </w:rPr>
        <w:t xml:space="preserve"> </w:t>
      </w:r>
      <w:r w:rsidRPr="003E6255">
        <w:rPr>
          <w:rFonts w:ascii="Arial" w:hAnsi="Arial" w:cs="Arial"/>
          <w:i/>
          <w:color w:val="000000" w:themeColor="text1"/>
          <w:sz w:val="24"/>
          <w:szCs w:val="24"/>
        </w:rPr>
        <w:t xml:space="preserve">A. </w:t>
      </w:r>
      <w:proofErr w:type="spellStart"/>
      <w:r w:rsidRPr="003E6255">
        <w:rPr>
          <w:rFonts w:ascii="Arial" w:hAnsi="Arial" w:cs="Arial"/>
          <w:i/>
          <w:color w:val="000000" w:themeColor="text1"/>
          <w:sz w:val="24"/>
          <w:szCs w:val="24"/>
        </w:rPr>
        <w:t>moluccana</w:t>
      </w:r>
      <w:proofErr w:type="spellEnd"/>
      <w:r w:rsidRPr="00947E8A">
        <w:rPr>
          <w:rFonts w:ascii="Arial" w:hAnsi="Arial" w:cs="Arial"/>
          <w:color w:val="000000" w:themeColor="text1"/>
          <w:sz w:val="24"/>
          <w:szCs w:val="24"/>
        </w:rPr>
        <w:t xml:space="preserve"> que permita determinar el rango de toxicidad mediante una metodología aceptada por la Organización para la Cooperación y </w:t>
      </w:r>
      <w:r w:rsidRPr="00947E8A">
        <w:rPr>
          <w:rFonts w:ascii="Arial" w:hAnsi="Arial" w:cs="Arial"/>
          <w:color w:val="000000" w:themeColor="text1"/>
          <w:sz w:val="24"/>
          <w:szCs w:val="24"/>
        </w:rPr>
        <w:lastRenderedPageBreak/>
        <w:t>Desarrollo Económicos (OECD), así como clasificarla acorde al Sistema Globalmente Armonizado (GHS); así mismo, determinar los componentes responsables de la tox</w:t>
      </w:r>
      <w:r w:rsidR="003E6255">
        <w:rPr>
          <w:rFonts w:ascii="Arial" w:hAnsi="Arial" w:cs="Arial"/>
          <w:color w:val="000000" w:themeColor="text1"/>
          <w:sz w:val="24"/>
          <w:szCs w:val="24"/>
        </w:rPr>
        <w:t xml:space="preserve">icidad de las semillas </w:t>
      </w:r>
      <w:r w:rsidR="003E6255" w:rsidRPr="003E6255">
        <w:rPr>
          <w:rFonts w:ascii="Arial" w:hAnsi="Arial" w:cs="Arial"/>
          <w:i/>
          <w:color w:val="000000" w:themeColor="text1"/>
          <w:sz w:val="24"/>
          <w:szCs w:val="24"/>
        </w:rPr>
        <w:t>A.</w:t>
      </w:r>
      <w:r w:rsidRPr="003E6255">
        <w:rPr>
          <w:rFonts w:ascii="Arial" w:hAnsi="Arial" w:cs="Arial"/>
          <w:i/>
          <w:color w:val="000000" w:themeColor="text1"/>
          <w:sz w:val="24"/>
          <w:szCs w:val="24"/>
        </w:rPr>
        <w:t xml:space="preserve"> </w:t>
      </w:r>
      <w:proofErr w:type="spellStart"/>
      <w:r w:rsidRPr="003E6255">
        <w:rPr>
          <w:rFonts w:ascii="Arial" w:hAnsi="Arial" w:cs="Arial"/>
          <w:i/>
          <w:color w:val="000000" w:themeColor="text1"/>
          <w:sz w:val="24"/>
          <w:szCs w:val="24"/>
        </w:rPr>
        <w:t>moluccana</w:t>
      </w:r>
      <w:proofErr w:type="spellEnd"/>
      <w:r w:rsidRPr="00947E8A">
        <w:rPr>
          <w:rFonts w:ascii="Arial" w:hAnsi="Arial" w:cs="Arial"/>
          <w:color w:val="000000" w:themeColor="text1"/>
          <w:sz w:val="24"/>
          <w:szCs w:val="24"/>
        </w:rPr>
        <w:t>.</w:t>
      </w:r>
    </w:p>
    <w:p w14:paraId="52F76BD7" w14:textId="77777777" w:rsidR="00947E8A" w:rsidRDefault="00247936" w:rsidP="00247936">
      <w:pPr>
        <w:jc w:val="both"/>
        <w:rPr>
          <w:rFonts w:ascii="Arial" w:hAnsi="Arial" w:cs="Arial"/>
          <w:color w:val="000000" w:themeColor="text1"/>
          <w:sz w:val="24"/>
          <w:szCs w:val="24"/>
        </w:rPr>
      </w:pPr>
      <w:r>
        <w:rPr>
          <w:rFonts w:ascii="Arial" w:hAnsi="Arial" w:cs="Arial"/>
          <w:color w:val="000000" w:themeColor="text1"/>
          <w:sz w:val="24"/>
          <w:szCs w:val="24"/>
        </w:rPr>
        <w:t>2.- Materiales y métodos</w:t>
      </w:r>
    </w:p>
    <w:p w14:paraId="78F0F6B6" w14:textId="77777777" w:rsidR="00947E8A" w:rsidRPr="00750753" w:rsidRDefault="00947E8A" w:rsidP="00247936">
      <w:pPr>
        <w:pStyle w:val="Sinespaciado"/>
        <w:numPr>
          <w:ilvl w:val="0"/>
          <w:numId w:val="1"/>
        </w:numPr>
        <w:spacing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Material vegetal</w:t>
      </w:r>
      <w:r w:rsidRPr="00750753">
        <w:rPr>
          <w:rFonts w:ascii="Arial" w:hAnsi="Arial" w:cs="Arial"/>
          <w:color w:val="000000" w:themeColor="text1"/>
          <w:sz w:val="24"/>
          <w:szCs w:val="24"/>
          <w:shd w:val="clear" w:color="auto" w:fill="FFFFFF"/>
        </w:rPr>
        <w:t xml:space="preserve"> </w:t>
      </w:r>
    </w:p>
    <w:p w14:paraId="4F359BA1" w14:textId="77777777" w:rsidR="00947E8A" w:rsidRDefault="00947E8A" w:rsidP="00247936">
      <w:pPr>
        <w:pStyle w:val="Sinespaciado"/>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 xml:space="preserve">Se colectaron </w:t>
      </w:r>
      <w:r>
        <w:rPr>
          <w:rFonts w:ascii="Arial" w:hAnsi="Arial" w:cs="Arial"/>
          <w:color w:val="000000" w:themeColor="text1"/>
          <w:sz w:val="24"/>
          <w:szCs w:val="24"/>
        </w:rPr>
        <w:t xml:space="preserve">semillas </w:t>
      </w:r>
      <w:r w:rsidRPr="00750753">
        <w:rPr>
          <w:rFonts w:ascii="Arial" w:hAnsi="Arial" w:cs="Arial"/>
          <w:color w:val="000000" w:themeColor="text1"/>
          <w:sz w:val="24"/>
          <w:szCs w:val="24"/>
        </w:rPr>
        <w:t>a partir de</w:t>
      </w:r>
      <w:r>
        <w:rPr>
          <w:rFonts w:ascii="Arial" w:hAnsi="Arial" w:cs="Arial"/>
          <w:color w:val="000000" w:themeColor="text1"/>
          <w:sz w:val="24"/>
          <w:szCs w:val="24"/>
        </w:rPr>
        <w:t xml:space="preserve"> fuentes comerciales</w:t>
      </w:r>
      <w:r w:rsidRPr="00750753">
        <w:rPr>
          <w:rFonts w:ascii="Arial" w:hAnsi="Arial" w:cs="Arial"/>
          <w:color w:val="000000" w:themeColor="text1"/>
          <w:sz w:val="24"/>
          <w:szCs w:val="24"/>
        </w:rPr>
        <w:t xml:space="preserve"> bajo el nombre de “La almendra quema grasa” sin ninguna otra especificación, en la ciudad de Tepic, Nayarit. </w:t>
      </w:r>
    </w:p>
    <w:p w14:paraId="56A03E89" w14:textId="77777777" w:rsidR="00947E8A" w:rsidRDefault="00947E8A" w:rsidP="00247936">
      <w:pPr>
        <w:pStyle w:val="Sinespaciado"/>
        <w:spacing w:line="276" w:lineRule="auto"/>
        <w:jc w:val="both"/>
        <w:rPr>
          <w:rFonts w:ascii="Arial" w:hAnsi="Arial" w:cs="Arial"/>
          <w:color w:val="000000" w:themeColor="text1"/>
          <w:sz w:val="24"/>
          <w:szCs w:val="24"/>
        </w:rPr>
      </w:pPr>
    </w:p>
    <w:p w14:paraId="5C8BFFCF" w14:textId="77777777" w:rsidR="00947E8A" w:rsidRPr="00750753" w:rsidRDefault="00947E8A" w:rsidP="00247936">
      <w:pPr>
        <w:pStyle w:val="Sinespaciado"/>
        <w:numPr>
          <w:ilvl w:val="0"/>
          <w:numId w:val="1"/>
        </w:numPr>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P</w:t>
      </w:r>
      <w:r>
        <w:rPr>
          <w:rFonts w:ascii="Arial" w:hAnsi="Arial" w:cs="Arial"/>
          <w:color w:val="000000" w:themeColor="text1"/>
          <w:sz w:val="24"/>
          <w:szCs w:val="24"/>
        </w:rPr>
        <w:t>reparación del extracto hidroalcohólico</w:t>
      </w:r>
    </w:p>
    <w:p w14:paraId="01E19393" w14:textId="77777777" w:rsidR="00247936" w:rsidRDefault="00947E8A" w:rsidP="00247936">
      <w:pPr>
        <w:pStyle w:val="Sinespaciado"/>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La obtención del extracto hidro</w:t>
      </w:r>
      <w:r>
        <w:rPr>
          <w:rFonts w:ascii="Arial" w:hAnsi="Arial" w:cs="Arial"/>
          <w:color w:val="000000" w:themeColor="text1"/>
          <w:sz w:val="24"/>
          <w:szCs w:val="24"/>
        </w:rPr>
        <w:t>-</w:t>
      </w:r>
      <w:r w:rsidRPr="00750753">
        <w:rPr>
          <w:rFonts w:ascii="Arial" w:hAnsi="Arial" w:cs="Arial"/>
          <w:color w:val="000000" w:themeColor="text1"/>
          <w:sz w:val="24"/>
          <w:szCs w:val="24"/>
        </w:rPr>
        <w:t>alc</w:t>
      </w:r>
      <w:r>
        <w:rPr>
          <w:rFonts w:ascii="Arial" w:hAnsi="Arial" w:cs="Arial"/>
          <w:color w:val="000000" w:themeColor="text1"/>
          <w:sz w:val="24"/>
          <w:szCs w:val="24"/>
        </w:rPr>
        <w:t>oh</w:t>
      </w:r>
      <w:r w:rsidRPr="00750753">
        <w:rPr>
          <w:rFonts w:ascii="Arial" w:hAnsi="Arial" w:cs="Arial"/>
          <w:color w:val="000000" w:themeColor="text1"/>
          <w:sz w:val="24"/>
          <w:szCs w:val="24"/>
        </w:rPr>
        <w:t xml:space="preserve">ólico de las semillas de </w:t>
      </w:r>
      <w:r w:rsidRPr="00C847DA">
        <w:rPr>
          <w:rFonts w:ascii="Arial" w:hAnsi="Arial" w:cs="Arial"/>
          <w:i/>
          <w:color w:val="000000" w:themeColor="text1"/>
          <w:sz w:val="24"/>
          <w:szCs w:val="24"/>
        </w:rPr>
        <w:t>Aleurites moluccana</w:t>
      </w:r>
      <w:r w:rsidRPr="00750753">
        <w:rPr>
          <w:rFonts w:ascii="Arial" w:hAnsi="Arial" w:cs="Arial"/>
          <w:color w:val="000000" w:themeColor="text1"/>
          <w:sz w:val="24"/>
          <w:szCs w:val="24"/>
        </w:rPr>
        <w:t xml:space="preserve">  se obtuvo mediante maceración con ayuda de un mortero, seguido a esto, el producto resultante se colocó en un frasco estéril con una solución de etanol-agua proporción 85:15 respectivamente</w:t>
      </w:r>
      <w:r>
        <w:rPr>
          <w:rFonts w:ascii="Arial" w:hAnsi="Arial" w:cs="Arial"/>
          <w:color w:val="000000" w:themeColor="text1"/>
          <w:sz w:val="24"/>
          <w:szCs w:val="24"/>
        </w:rPr>
        <w:t>,</w:t>
      </w:r>
      <w:r w:rsidRPr="00750753">
        <w:rPr>
          <w:rFonts w:ascii="Arial" w:hAnsi="Arial" w:cs="Arial"/>
          <w:color w:val="000000" w:themeColor="text1"/>
          <w:sz w:val="24"/>
          <w:szCs w:val="24"/>
        </w:rPr>
        <w:t xml:space="preserve"> por 72hrs. Finalmente el disolvente fue filtrado y evaporado con ayuda de un rota-evaporador BUCHI</w:t>
      </w:r>
      <w:r w:rsidRPr="00750753">
        <w:rPr>
          <w:rFonts w:ascii="Arial" w:hAnsi="Arial" w:cs="Arial"/>
          <w:color w:val="000000" w:themeColor="text1"/>
          <w:sz w:val="24"/>
          <w:szCs w:val="24"/>
          <w:vertAlign w:val="superscript"/>
        </w:rPr>
        <w:t>®</w:t>
      </w:r>
      <w:r w:rsidRPr="00750753">
        <w:rPr>
          <w:rFonts w:ascii="Arial" w:hAnsi="Arial" w:cs="Arial"/>
          <w:color w:val="000000" w:themeColor="text1"/>
          <w:sz w:val="24"/>
          <w:szCs w:val="24"/>
        </w:rPr>
        <w:t xml:space="preserve"> a presión y temperatura reducida. El proceso se realizo por triplicado para cada etapa de maceración.</w:t>
      </w:r>
    </w:p>
    <w:p w14:paraId="45E72D0B" w14:textId="77777777" w:rsidR="00247936" w:rsidRDefault="00247936" w:rsidP="00247936">
      <w:pPr>
        <w:pStyle w:val="Sinespaciado"/>
        <w:spacing w:line="276" w:lineRule="auto"/>
        <w:jc w:val="both"/>
        <w:rPr>
          <w:rFonts w:ascii="Arial" w:hAnsi="Arial" w:cs="Arial"/>
          <w:color w:val="000000" w:themeColor="text1"/>
          <w:sz w:val="24"/>
          <w:szCs w:val="24"/>
        </w:rPr>
      </w:pPr>
    </w:p>
    <w:p w14:paraId="50B7D324" w14:textId="77777777" w:rsidR="00247936" w:rsidRPr="00750753" w:rsidRDefault="00247936" w:rsidP="00247936">
      <w:pPr>
        <w:pStyle w:val="Sinespaciado"/>
        <w:numPr>
          <w:ilvl w:val="0"/>
          <w:numId w:val="1"/>
        </w:numPr>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F</w:t>
      </w:r>
      <w:r>
        <w:rPr>
          <w:rFonts w:ascii="Arial" w:hAnsi="Arial" w:cs="Arial"/>
          <w:color w:val="000000" w:themeColor="text1"/>
          <w:sz w:val="24"/>
          <w:szCs w:val="24"/>
        </w:rPr>
        <w:t>raccionamiento cromatográfico</w:t>
      </w:r>
    </w:p>
    <w:p w14:paraId="372BFC3F" w14:textId="77777777" w:rsidR="00247936" w:rsidRDefault="00247936" w:rsidP="00247936">
      <w:pPr>
        <w:pStyle w:val="Sinespaciado"/>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 xml:space="preserve">Para el aislamiento de los componentes mayoritarios de las semillas de </w:t>
      </w:r>
      <w:r w:rsidR="003E6255">
        <w:rPr>
          <w:rFonts w:ascii="Arial" w:hAnsi="Arial" w:cs="Arial"/>
          <w:i/>
          <w:color w:val="000000" w:themeColor="text1"/>
          <w:sz w:val="24"/>
          <w:szCs w:val="24"/>
        </w:rPr>
        <w:t>A.</w:t>
      </w:r>
      <w:r w:rsidRPr="00750753">
        <w:rPr>
          <w:rFonts w:ascii="Arial" w:hAnsi="Arial" w:cs="Arial"/>
          <w:i/>
          <w:color w:val="000000" w:themeColor="text1"/>
          <w:sz w:val="24"/>
          <w:szCs w:val="24"/>
        </w:rPr>
        <w:t xml:space="preserve"> moluccana</w:t>
      </w:r>
      <w:r w:rsidRPr="00750753">
        <w:rPr>
          <w:rFonts w:ascii="Arial" w:hAnsi="Arial" w:cs="Arial"/>
          <w:color w:val="000000" w:themeColor="text1"/>
          <w:sz w:val="24"/>
          <w:szCs w:val="24"/>
        </w:rPr>
        <w:t xml:space="preserve"> se utilizaron técnicas cromatográficas convencionales como cromatografía en columna abierta (CC) monitoreada mediante cromatografía en capa fina (CCF). En CC, como fase estacionaria se utilizo gel sílice 60 (70:230) con un tamaño de partícula de 0.063-0.200mm Merk</w:t>
      </w:r>
      <w:r w:rsidRPr="00750753">
        <w:rPr>
          <w:rFonts w:ascii="Arial" w:hAnsi="Arial" w:cs="Arial"/>
          <w:color w:val="000000" w:themeColor="text1"/>
          <w:sz w:val="24"/>
          <w:szCs w:val="24"/>
          <w:vertAlign w:val="superscript"/>
        </w:rPr>
        <w:t>®</w:t>
      </w:r>
      <w:r w:rsidRPr="00750753">
        <w:rPr>
          <w:rFonts w:ascii="Arial" w:hAnsi="Arial" w:cs="Arial"/>
          <w:color w:val="000000" w:themeColor="text1"/>
          <w:sz w:val="24"/>
          <w:szCs w:val="24"/>
        </w:rPr>
        <w:t>, como fase móvil se utilizó</w:t>
      </w:r>
      <w:r>
        <w:rPr>
          <w:rFonts w:ascii="Arial" w:hAnsi="Arial" w:cs="Arial"/>
          <w:color w:val="000000" w:themeColor="text1"/>
          <w:sz w:val="24"/>
          <w:szCs w:val="24"/>
        </w:rPr>
        <w:t xml:space="preserve"> un gradiente</w:t>
      </w:r>
      <w:r w:rsidR="003E6255">
        <w:rPr>
          <w:rFonts w:ascii="Arial" w:hAnsi="Arial" w:cs="Arial"/>
          <w:color w:val="000000" w:themeColor="text1"/>
          <w:sz w:val="24"/>
          <w:szCs w:val="24"/>
        </w:rPr>
        <w:t xml:space="preserve"> de polaridad. </w:t>
      </w:r>
      <w:r w:rsidRPr="00750753">
        <w:rPr>
          <w:rFonts w:ascii="Arial" w:hAnsi="Arial" w:cs="Arial"/>
          <w:color w:val="000000" w:themeColor="text1"/>
          <w:sz w:val="24"/>
          <w:szCs w:val="24"/>
        </w:rPr>
        <w:t>Se colectaron fracciones de 25mL que fueron todo el tiempo monitoreadas por CCF con cromatoplacas base de aluminio kieselgel 60 F</w:t>
      </w:r>
      <w:r w:rsidRPr="00750753">
        <w:rPr>
          <w:rFonts w:ascii="Arial" w:hAnsi="Arial" w:cs="Arial"/>
          <w:color w:val="000000" w:themeColor="text1"/>
          <w:sz w:val="24"/>
          <w:szCs w:val="24"/>
          <w:vertAlign w:val="subscript"/>
        </w:rPr>
        <w:t>264</w:t>
      </w:r>
      <w:r w:rsidRPr="00750753">
        <w:rPr>
          <w:rFonts w:ascii="Arial" w:hAnsi="Arial" w:cs="Arial"/>
          <w:color w:val="000000" w:themeColor="text1"/>
          <w:sz w:val="24"/>
          <w:szCs w:val="24"/>
        </w:rPr>
        <w:t xml:space="preserve"> con un milímetro de espesor Merk</w:t>
      </w:r>
      <w:r w:rsidRPr="00750753">
        <w:rPr>
          <w:rFonts w:ascii="Arial" w:hAnsi="Arial" w:cs="Arial"/>
          <w:color w:val="000000" w:themeColor="text1"/>
          <w:sz w:val="24"/>
          <w:szCs w:val="24"/>
          <w:vertAlign w:val="superscript"/>
        </w:rPr>
        <w:t>®</w:t>
      </w:r>
      <w:r w:rsidRPr="00750753">
        <w:rPr>
          <w:rFonts w:ascii="Arial" w:hAnsi="Arial" w:cs="Arial"/>
          <w:color w:val="000000" w:themeColor="text1"/>
          <w:sz w:val="24"/>
          <w:szCs w:val="24"/>
        </w:rPr>
        <w:t>.</w:t>
      </w:r>
      <w:r>
        <w:rPr>
          <w:rFonts w:ascii="Arial" w:hAnsi="Arial" w:cs="Arial"/>
          <w:color w:val="000000" w:themeColor="text1"/>
          <w:sz w:val="24"/>
          <w:szCs w:val="24"/>
        </w:rPr>
        <w:t xml:space="preserve"> </w:t>
      </w:r>
    </w:p>
    <w:p w14:paraId="2D78D381" w14:textId="77777777" w:rsidR="00247936" w:rsidRDefault="00247936" w:rsidP="00247936">
      <w:pPr>
        <w:pStyle w:val="Sinespaciado"/>
        <w:spacing w:line="360" w:lineRule="auto"/>
        <w:jc w:val="both"/>
        <w:rPr>
          <w:rFonts w:ascii="Arial" w:hAnsi="Arial" w:cs="Arial"/>
          <w:color w:val="000000" w:themeColor="text1"/>
          <w:sz w:val="24"/>
          <w:szCs w:val="24"/>
        </w:rPr>
      </w:pPr>
    </w:p>
    <w:p w14:paraId="0F56D4CE" w14:textId="77777777" w:rsidR="00247936" w:rsidRPr="00750753" w:rsidRDefault="00247936" w:rsidP="00247936">
      <w:pPr>
        <w:pStyle w:val="Sinespaciado"/>
        <w:numPr>
          <w:ilvl w:val="0"/>
          <w:numId w:val="1"/>
        </w:numPr>
        <w:spacing w:line="360" w:lineRule="auto"/>
        <w:jc w:val="both"/>
        <w:rPr>
          <w:rFonts w:ascii="Arial" w:hAnsi="Arial" w:cs="Arial"/>
          <w:color w:val="000000" w:themeColor="text1"/>
          <w:sz w:val="24"/>
          <w:szCs w:val="24"/>
        </w:rPr>
      </w:pPr>
      <w:r w:rsidRPr="00750753">
        <w:rPr>
          <w:rFonts w:ascii="Arial" w:hAnsi="Arial" w:cs="Arial"/>
          <w:color w:val="000000" w:themeColor="text1"/>
          <w:sz w:val="24"/>
          <w:szCs w:val="24"/>
        </w:rPr>
        <w:t>Animales para evaluar toxicidad aguda</w:t>
      </w:r>
    </w:p>
    <w:p w14:paraId="112EAD9E" w14:textId="77777777" w:rsidR="00247936" w:rsidRDefault="00247936" w:rsidP="00247936">
      <w:pPr>
        <w:pStyle w:val="Sinespaciado"/>
        <w:spacing w:line="276" w:lineRule="auto"/>
        <w:jc w:val="both"/>
        <w:rPr>
          <w:rFonts w:ascii="Arial" w:hAnsi="Arial" w:cs="Arial"/>
          <w:color w:val="000000" w:themeColor="text1"/>
          <w:sz w:val="24"/>
          <w:szCs w:val="24"/>
        </w:rPr>
      </w:pPr>
      <w:r w:rsidRPr="00750753">
        <w:rPr>
          <w:rFonts w:ascii="Arial" w:hAnsi="Arial" w:cs="Arial"/>
          <w:color w:val="000000" w:themeColor="text1"/>
          <w:sz w:val="24"/>
          <w:szCs w:val="24"/>
        </w:rPr>
        <w:t>Para este ensayo se utilizaron  ratones hembra CD-</w:t>
      </w:r>
      <w:r>
        <w:rPr>
          <w:rFonts w:ascii="Arial" w:hAnsi="Arial" w:cs="Arial"/>
          <w:color w:val="000000" w:themeColor="text1"/>
          <w:sz w:val="24"/>
          <w:szCs w:val="24"/>
        </w:rPr>
        <w:t>1 con una edad próxima a 8-12</w:t>
      </w:r>
      <w:r w:rsidRPr="00750753">
        <w:rPr>
          <w:rFonts w:ascii="Arial" w:hAnsi="Arial" w:cs="Arial"/>
          <w:color w:val="000000" w:themeColor="text1"/>
          <w:sz w:val="24"/>
          <w:szCs w:val="24"/>
        </w:rPr>
        <w:t xml:space="preserve"> semanas. </w:t>
      </w:r>
      <w:r>
        <w:rPr>
          <w:rFonts w:ascii="Arial" w:hAnsi="Arial" w:cs="Arial"/>
          <w:color w:val="000000" w:themeColor="text1"/>
          <w:sz w:val="24"/>
          <w:szCs w:val="24"/>
        </w:rPr>
        <w:t>Los animales fueron alimentados mediante alimento comercial que cumple con las especificaciones de la NOM-ZOO-062-1999 (proteína cruda 17-24%, grasa cruda 4-11%, fibra 3-6%). Los animales se mantuvieron con luz artificial, 12 horas de luz, 12 horas de oscuridad y con suministro ilimitado de agua potable como dicta la OECD.</w:t>
      </w:r>
    </w:p>
    <w:p w14:paraId="46C74484" w14:textId="77777777" w:rsidR="00247936" w:rsidRDefault="00247936" w:rsidP="00247936">
      <w:pPr>
        <w:pStyle w:val="Sinespaciado"/>
        <w:spacing w:line="276" w:lineRule="auto"/>
        <w:jc w:val="both"/>
        <w:rPr>
          <w:rFonts w:ascii="Arial" w:hAnsi="Arial" w:cs="Arial"/>
          <w:color w:val="000000" w:themeColor="text1"/>
          <w:sz w:val="24"/>
          <w:szCs w:val="24"/>
        </w:rPr>
      </w:pPr>
    </w:p>
    <w:p w14:paraId="659C45AE" w14:textId="77777777" w:rsidR="00247936" w:rsidRPr="00247936" w:rsidRDefault="00247936" w:rsidP="00247936">
      <w:pPr>
        <w:pStyle w:val="Sinespaciado"/>
        <w:numPr>
          <w:ilvl w:val="0"/>
          <w:numId w:val="1"/>
        </w:numPr>
        <w:spacing w:line="276" w:lineRule="auto"/>
        <w:jc w:val="both"/>
        <w:rPr>
          <w:rFonts w:ascii="Arial" w:hAnsi="Arial" w:cs="Arial"/>
          <w:color w:val="000000" w:themeColor="text1"/>
          <w:sz w:val="24"/>
          <w:szCs w:val="24"/>
        </w:rPr>
      </w:pPr>
      <w:r w:rsidRPr="00247936">
        <w:rPr>
          <w:rFonts w:ascii="Arial" w:hAnsi="Arial" w:cs="Arial"/>
          <w:color w:val="000000" w:themeColor="text1"/>
          <w:sz w:val="24"/>
          <w:szCs w:val="24"/>
        </w:rPr>
        <w:t>Ensayo de toxicidad oral aguda</w:t>
      </w:r>
    </w:p>
    <w:p w14:paraId="372A1A39" w14:textId="77777777" w:rsidR="00247936" w:rsidRDefault="00247936" w:rsidP="00247936">
      <w:pPr>
        <w:pStyle w:val="Sinespaciado"/>
        <w:spacing w:line="276" w:lineRule="auto"/>
        <w:jc w:val="both"/>
        <w:rPr>
          <w:rFonts w:ascii="Arial" w:hAnsi="Arial" w:cs="Arial"/>
          <w:color w:val="000000" w:themeColor="text1"/>
          <w:sz w:val="24"/>
          <w:szCs w:val="24"/>
        </w:rPr>
      </w:pPr>
      <w:r w:rsidRPr="00247936">
        <w:rPr>
          <w:rFonts w:ascii="Arial" w:hAnsi="Arial" w:cs="Arial"/>
          <w:color w:val="000000" w:themeColor="text1"/>
          <w:sz w:val="24"/>
          <w:szCs w:val="24"/>
        </w:rPr>
        <w:t>El ensayo consistió en dos p</w:t>
      </w:r>
      <w:r w:rsidR="003E6255">
        <w:rPr>
          <w:rFonts w:ascii="Arial" w:hAnsi="Arial" w:cs="Arial"/>
          <w:color w:val="000000" w:themeColor="text1"/>
          <w:sz w:val="24"/>
          <w:szCs w:val="24"/>
        </w:rPr>
        <w:t>asos, de acuerdo a</w:t>
      </w:r>
      <w:r w:rsidRPr="00247936">
        <w:rPr>
          <w:rFonts w:ascii="Arial" w:hAnsi="Arial" w:cs="Arial"/>
          <w:color w:val="000000" w:themeColor="text1"/>
          <w:sz w:val="24"/>
          <w:szCs w:val="24"/>
        </w:rPr>
        <w:t>l protocolo 420 de la</w:t>
      </w:r>
      <w:r w:rsidR="003E6255">
        <w:rPr>
          <w:rFonts w:ascii="Arial" w:hAnsi="Arial" w:cs="Arial"/>
          <w:color w:val="000000" w:themeColor="text1"/>
          <w:sz w:val="24"/>
          <w:szCs w:val="24"/>
        </w:rPr>
        <w:t xml:space="preserve"> </w:t>
      </w:r>
      <w:r w:rsidRPr="00247936">
        <w:rPr>
          <w:rFonts w:ascii="Arial" w:hAnsi="Arial" w:cs="Arial"/>
          <w:color w:val="000000" w:themeColor="text1"/>
          <w:sz w:val="24"/>
          <w:szCs w:val="24"/>
        </w:rPr>
        <w:t>OECD. En la primera etapa, se administró a un solo animal una dosis única de 300mg/Kg, la cual fue seleccionada por la escasez de datos reportados acerca de estudios de toxicidad del extracto de las semillas</w:t>
      </w:r>
      <w:r>
        <w:rPr>
          <w:rFonts w:ascii="Arial" w:hAnsi="Arial" w:cs="Arial"/>
          <w:color w:val="000000" w:themeColor="text1"/>
          <w:sz w:val="24"/>
          <w:szCs w:val="24"/>
        </w:rPr>
        <w:t xml:space="preserve"> </w:t>
      </w:r>
      <w:r w:rsidRPr="003E6255">
        <w:rPr>
          <w:rFonts w:ascii="Arial" w:hAnsi="Arial" w:cs="Arial"/>
          <w:i/>
          <w:color w:val="000000" w:themeColor="text1"/>
          <w:sz w:val="24"/>
          <w:szCs w:val="24"/>
        </w:rPr>
        <w:t>A. moluccana</w:t>
      </w:r>
      <w:r w:rsidRPr="00247936">
        <w:rPr>
          <w:rFonts w:ascii="Arial" w:hAnsi="Arial" w:cs="Arial"/>
          <w:color w:val="000000" w:themeColor="text1"/>
          <w:sz w:val="24"/>
          <w:szCs w:val="24"/>
        </w:rPr>
        <w:t>.</w:t>
      </w:r>
    </w:p>
    <w:p w14:paraId="653CD9C4" w14:textId="77777777" w:rsidR="00247936" w:rsidRDefault="00247936" w:rsidP="00247936">
      <w:pPr>
        <w:pStyle w:val="Sinespaciado"/>
        <w:spacing w:line="276" w:lineRule="auto"/>
        <w:jc w:val="both"/>
        <w:rPr>
          <w:rFonts w:ascii="Arial" w:hAnsi="Arial" w:cs="Arial"/>
          <w:color w:val="000000" w:themeColor="text1"/>
          <w:sz w:val="24"/>
          <w:szCs w:val="24"/>
        </w:rPr>
      </w:pPr>
      <w:r w:rsidRPr="00247936">
        <w:rPr>
          <w:rFonts w:ascii="Arial" w:hAnsi="Arial" w:cs="Arial"/>
          <w:color w:val="000000" w:themeColor="text1"/>
          <w:sz w:val="24"/>
          <w:szCs w:val="24"/>
        </w:rPr>
        <w:lastRenderedPageBreak/>
        <w:t>En la segunda etapa, 10 animales hembra fueron divididos en grupos de 5 animales (un grupo control y de ensayo). El grupo de ensayo fue administrado con una dosis de 300mg/Kg de peso</w:t>
      </w:r>
      <w:r w:rsidR="00886035">
        <w:rPr>
          <w:rFonts w:ascii="Arial" w:hAnsi="Arial" w:cs="Arial"/>
          <w:color w:val="000000" w:themeColor="text1"/>
          <w:sz w:val="24"/>
          <w:szCs w:val="24"/>
        </w:rPr>
        <w:t xml:space="preserve"> corporal con extracto etanólico de </w:t>
      </w:r>
      <w:r w:rsidR="00886035" w:rsidRPr="00886035">
        <w:rPr>
          <w:rFonts w:ascii="Arial" w:hAnsi="Arial" w:cs="Arial"/>
          <w:i/>
          <w:color w:val="000000" w:themeColor="text1"/>
          <w:sz w:val="24"/>
          <w:szCs w:val="24"/>
        </w:rPr>
        <w:t>A. molucanna</w:t>
      </w:r>
      <w:r w:rsidR="00886035">
        <w:rPr>
          <w:rFonts w:ascii="Arial" w:hAnsi="Arial" w:cs="Arial"/>
          <w:color w:val="000000" w:themeColor="text1"/>
          <w:sz w:val="24"/>
          <w:szCs w:val="24"/>
        </w:rPr>
        <w:t xml:space="preserve"> (EEAm) intragástrico</w:t>
      </w:r>
      <w:r w:rsidRPr="00247936">
        <w:rPr>
          <w:rFonts w:ascii="Arial" w:hAnsi="Arial" w:cs="Arial"/>
          <w:color w:val="000000" w:themeColor="text1"/>
          <w:sz w:val="24"/>
          <w:szCs w:val="24"/>
        </w:rPr>
        <w:t xml:space="preserve"> usando como vehículo solución salina (SS). Mientras que el grupo control se administró únicamente con SS (1 mL/kg). Durante todo el ensayo, fueron monitoreados signos evidentes de toxicidad y mortalidad de los animales durante 24 h posteriores a la administración y se mantuvieron por 14 días.</w:t>
      </w:r>
    </w:p>
    <w:p w14:paraId="6A7B24F8" w14:textId="77777777" w:rsidR="00247936" w:rsidRDefault="00247936" w:rsidP="00247936">
      <w:pPr>
        <w:pStyle w:val="Sinespaciado"/>
        <w:spacing w:line="276" w:lineRule="auto"/>
        <w:jc w:val="both"/>
        <w:rPr>
          <w:rFonts w:ascii="Arial" w:hAnsi="Arial" w:cs="Arial"/>
          <w:color w:val="000000" w:themeColor="text1"/>
          <w:sz w:val="24"/>
          <w:szCs w:val="24"/>
        </w:rPr>
      </w:pPr>
    </w:p>
    <w:p w14:paraId="4B30450E" w14:textId="77777777" w:rsidR="00247936" w:rsidRDefault="00191801" w:rsidP="00247936">
      <w:pPr>
        <w:pStyle w:val="Sinespaciado"/>
        <w:spacing w:line="276" w:lineRule="auto"/>
        <w:jc w:val="both"/>
        <w:rPr>
          <w:rFonts w:ascii="Arial" w:hAnsi="Arial" w:cs="Arial"/>
          <w:color w:val="000000" w:themeColor="text1"/>
          <w:sz w:val="24"/>
          <w:szCs w:val="24"/>
        </w:rPr>
      </w:pPr>
      <w:r>
        <w:rPr>
          <w:rFonts w:ascii="Arial" w:hAnsi="Arial" w:cs="Arial"/>
          <w:noProof/>
          <w:color w:val="000000" w:themeColor="text1"/>
          <w:sz w:val="24"/>
          <w:szCs w:val="24"/>
          <w:lang w:val="es-ES_tradnl" w:eastAsia="es-ES_tradnl"/>
        </w:rPr>
        <w:drawing>
          <wp:anchor distT="0" distB="0" distL="114300" distR="114300" simplePos="0" relativeHeight="251658240" behindDoc="1" locked="0" layoutInCell="1" allowOverlap="1" wp14:anchorId="6963AE12" wp14:editId="3019D68A">
            <wp:simplePos x="0" y="0"/>
            <wp:positionH relativeFrom="column">
              <wp:posOffset>347345</wp:posOffset>
            </wp:positionH>
            <wp:positionV relativeFrom="paragraph">
              <wp:posOffset>138430</wp:posOffset>
            </wp:positionV>
            <wp:extent cx="5153025" cy="2857500"/>
            <wp:effectExtent l="19050" t="0" r="9525" b="0"/>
            <wp:wrapTight wrapText="bothSides">
              <wp:wrapPolygon edited="0">
                <wp:start x="-80" y="0"/>
                <wp:lineTo x="-80" y="21456"/>
                <wp:lineTo x="21640" y="21456"/>
                <wp:lineTo x="21640" y="0"/>
                <wp:lineTo x="-80" y="0"/>
              </wp:wrapPolygon>
            </wp:wrapTight>
            <wp:docPr id="2" name="Imagen 1" descr="C:\Users\HP\Downloads\Esquema TOA 27 Junio.pptx.jpg"/>
            <wp:cNvGraphicFramePr/>
            <a:graphic xmlns:a="http://schemas.openxmlformats.org/drawingml/2006/main">
              <a:graphicData uri="http://schemas.openxmlformats.org/drawingml/2006/picture">
                <pic:pic xmlns:pic="http://schemas.openxmlformats.org/drawingml/2006/picture">
                  <pic:nvPicPr>
                    <pic:cNvPr id="1028" name="Picture 4" descr="C:\Users\HP\Downloads\Esquema TOA 27 Junio.pptx.jpg"/>
                    <pic:cNvPicPr>
                      <a:picLocks noChangeAspect="1" noChangeArrowheads="1"/>
                    </pic:cNvPicPr>
                  </pic:nvPicPr>
                  <pic:blipFill>
                    <a:blip r:embed="rId9"/>
                    <a:srcRect l="3125" r="7812" b="28124"/>
                    <a:stretch>
                      <a:fillRect/>
                    </a:stretch>
                  </pic:blipFill>
                  <pic:spPr bwMode="auto">
                    <a:xfrm>
                      <a:off x="0" y="0"/>
                      <a:ext cx="5153025" cy="2857500"/>
                    </a:xfrm>
                    <a:prstGeom prst="rect">
                      <a:avLst/>
                    </a:prstGeom>
                    <a:noFill/>
                  </pic:spPr>
                </pic:pic>
              </a:graphicData>
            </a:graphic>
          </wp:anchor>
        </w:drawing>
      </w:r>
    </w:p>
    <w:p w14:paraId="15D5F7DD" w14:textId="77777777" w:rsidR="00247936" w:rsidRDefault="00247936" w:rsidP="00247936">
      <w:pPr>
        <w:pStyle w:val="Sinespaciado"/>
        <w:spacing w:line="276" w:lineRule="auto"/>
        <w:jc w:val="both"/>
        <w:rPr>
          <w:rFonts w:ascii="Arial" w:hAnsi="Arial" w:cs="Arial"/>
          <w:color w:val="000000" w:themeColor="text1"/>
          <w:sz w:val="24"/>
          <w:szCs w:val="24"/>
        </w:rPr>
      </w:pPr>
    </w:p>
    <w:p w14:paraId="4C92A197" w14:textId="77777777" w:rsidR="00247936" w:rsidRDefault="00247936" w:rsidP="00247936">
      <w:pPr>
        <w:pStyle w:val="Sinespaciado"/>
        <w:spacing w:line="276" w:lineRule="auto"/>
        <w:jc w:val="both"/>
        <w:rPr>
          <w:rFonts w:ascii="Arial" w:hAnsi="Arial" w:cs="Arial"/>
          <w:color w:val="000000" w:themeColor="text1"/>
          <w:sz w:val="24"/>
          <w:szCs w:val="24"/>
        </w:rPr>
      </w:pPr>
    </w:p>
    <w:p w14:paraId="304E028F" w14:textId="77777777" w:rsidR="00247936" w:rsidRDefault="00247936" w:rsidP="00247936">
      <w:pPr>
        <w:pStyle w:val="Sinespaciado"/>
        <w:spacing w:line="276" w:lineRule="auto"/>
        <w:jc w:val="both"/>
        <w:rPr>
          <w:rFonts w:ascii="Arial" w:hAnsi="Arial" w:cs="Arial"/>
          <w:color w:val="000000" w:themeColor="text1"/>
          <w:sz w:val="24"/>
          <w:szCs w:val="24"/>
        </w:rPr>
      </w:pPr>
    </w:p>
    <w:p w14:paraId="3BC50696" w14:textId="77777777" w:rsidR="00247936" w:rsidRPr="00750753" w:rsidRDefault="00247936" w:rsidP="00247936">
      <w:pPr>
        <w:pStyle w:val="Sinespaciado"/>
        <w:spacing w:line="360" w:lineRule="auto"/>
        <w:jc w:val="both"/>
        <w:rPr>
          <w:rFonts w:ascii="Arial" w:hAnsi="Arial" w:cs="Arial"/>
          <w:color w:val="000000" w:themeColor="text1"/>
          <w:sz w:val="24"/>
          <w:szCs w:val="24"/>
        </w:rPr>
      </w:pPr>
    </w:p>
    <w:p w14:paraId="109A6BC8" w14:textId="77777777" w:rsidR="00247936" w:rsidRDefault="00247936" w:rsidP="00247936">
      <w:pPr>
        <w:pStyle w:val="Sinespaciado"/>
        <w:spacing w:line="360" w:lineRule="auto"/>
        <w:jc w:val="both"/>
        <w:rPr>
          <w:rFonts w:ascii="Arial" w:hAnsi="Arial" w:cs="Arial"/>
          <w:color w:val="000000" w:themeColor="text1"/>
          <w:sz w:val="24"/>
          <w:szCs w:val="24"/>
        </w:rPr>
      </w:pPr>
    </w:p>
    <w:p w14:paraId="0F258F7B" w14:textId="77777777" w:rsidR="00947E8A" w:rsidRDefault="00947E8A" w:rsidP="00947E8A">
      <w:pPr>
        <w:pStyle w:val="Sinespaciado"/>
        <w:spacing w:line="360" w:lineRule="auto"/>
        <w:jc w:val="both"/>
        <w:rPr>
          <w:rFonts w:ascii="Arial" w:hAnsi="Arial" w:cs="Arial"/>
          <w:color w:val="000000" w:themeColor="text1"/>
          <w:sz w:val="24"/>
          <w:szCs w:val="24"/>
        </w:rPr>
      </w:pPr>
    </w:p>
    <w:p w14:paraId="2EFE2186" w14:textId="77777777" w:rsidR="00947E8A" w:rsidRDefault="00947E8A" w:rsidP="00947E8A">
      <w:pPr>
        <w:pStyle w:val="Sinespaciado"/>
        <w:spacing w:line="360" w:lineRule="auto"/>
        <w:jc w:val="both"/>
        <w:rPr>
          <w:rFonts w:ascii="Arial" w:hAnsi="Arial" w:cs="Arial"/>
          <w:color w:val="000000" w:themeColor="text1"/>
          <w:sz w:val="24"/>
          <w:szCs w:val="24"/>
        </w:rPr>
      </w:pPr>
    </w:p>
    <w:p w14:paraId="6658E23A" w14:textId="77777777" w:rsidR="00947E8A" w:rsidRDefault="00947E8A" w:rsidP="00947E8A">
      <w:pPr>
        <w:pStyle w:val="Sinespaciado"/>
        <w:spacing w:line="360" w:lineRule="auto"/>
        <w:jc w:val="both"/>
        <w:rPr>
          <w:rFonts w:ascii="Arial" w:hAnsi="Arial" w:cs="Arial"/>
          <w:color w:val="000000" w:themeColor="text1"/>
          <w:sz w:val="24"/>
          <w:szCs w:val="24"/>
        </w:rPr>
      </w:pPr>
    </w:p>
    <w:p w14:paraId="7AEBAF05" w14:textId="77777777" w:rsidR="00191801" w:rsidRDefault="00191801" w:rsidP="00947E8A">
      <w:pPr>
        <w:pStyle w:val="Sinespaciado"/>
        <w:spacing w:line="360" w:lineRule="auto"/>
        <w:jc w:val="both"/>
        <w:rPr>
          <w:rFonts w:ascii="Arial" w:hAnsi="Arial" w:cs="Arial"/>
          <w:color w:val="000000" w:themeColor="text1"/>
          <w:sz w:val="24"/>
          <w:szCs w:val="24"/>
        </w:rPr>
      </w:pPr>
    </w:p>
    <w:p w14:paraId="3EA65EDC" w14:textId="77777777" w:rsidR="00191801" w:rsidRDefault="00191801" w:rsidP="00947E8A">
      <w:pPr>
        <w:pStyle w:val="Sinespaciado"/>
        <w:spacing w:line="360" w:lineRule="auto"/>
        <w:jc w:val="both"/>
        <w:rPr>
          <w:rFonts w:ascii="Arial" w:hAnsi="Arial" w:cs="Arial"/>
          <w:color w:val="000000" w:themeColor="text1"/>
          <w:sz w:val="24"/>
          <w:szCs w:val="24"/>
        </w:rPr>
      </w:pPr>
    </w:p>
    <w:p w14:paraId="0F91E422" w14:textId="77777777" w:rsidR="00191801" w:rsidRDefault="00191801" w:rsidP="00947E8A">
      <w:pPr>
        <w:pStyle w:val="Sinespaciado"/>
        <w:spacing w:line="360" w:lineRule="auto"/>
        <w:jc w:val="both"/>
        <w:rPr>
          <w:rFonts w:ascii="Arial" w:hAnsi="Arial" w:cs="Arial"/>
          <w:color w:val="000000" w:themeColor="text1"/>
          <w:sz w:val="24"/>
          <w:szCs w:val="24"/>
        </w:rPr>
      </w:pPr>
    </w:p>
    <w:p w14:paraId="6AE9A765" w14:textId="77777777" w:rsidR="00191801" w:rsidRDefault="00191801" w:rsidP="00947E8A">
      <w:pPr>
        <w:pStyle w:val="Sinespaciado"/>
        <w:spacing w:line="360" w:lineRule="auto"/>
        <w:jc w:val="both"/>
        <w:rPr>
          <w:rFonts w:ascii="Arial" w:hAnsi="Arial" w:cs="Arial"/>
          <w:color w:val="000000" w:themeColor="text1"/>
          <w:sz w:val="24"/>
          <w:szCs w:val="24"/>
        </w:rPr>
      </w:pPr>
    </w:p>
    <w:p w14:paraId="37AD6EF0" w14:textId="77777777" w:rsidR="00BB1671" w:rsidRPr="00BB1671" w:rsidRDefault="00BB1671" w:rsidP="00BB1671">
      <w:pPr>
        <w:pStyle w:val="Sinespaciado"/>
        <w:spacing w:line="276" w:lineRule="auto"/>
        <w:jc w:val="center"/>
        <w:rPr>
          <w:rFonts w:ascii="Arial" w:hAnsi="Arial" w:cs="Arial"/>
          <w:color w:val="000000" w:themeColor="text1"/>
          <w:szCs w:val="24"/>
        </w:rPr>
      </w:pPr>
      <w:r w:rsidRPr="00BB1671">
        <w:rPr>
          <w:rFonts w:ascii="Arial" w:hAnsi="Arial" w:cs="Arial"/>
          <w:b/>
          <w:color w:val="000000" w:themeColor="text1"/>
          <w:szCs w:val="24"/>
        </w:rPr>
        <w:t>Fig. 1:</w:t>
      </w:r>
      <w:r w:rsidRPr="00BB1671">
        <w:rPr>
          <w:rFonts w:ascii="Arial" w:hAnsi="Arial" w:cs="Arial"/>
          <w:color w:val="000000" w:themeColor="text1"/>
          <w:szCs w:val="24"/>
        </w:rPr>
        <w:t xml:space="preserve"> estudio preliminar del protocolo 420 de la OECD para evaluar toxicidad oral aguda.</w:t>
      </w:r>
    </w:p>
    <w:p w14:paraId="3A610945" w14:textId="77777777" w:rsidR="00BB1671" w:rsidRPr="00BB1671" w:rsidRDefault="00BB1671" w:rsidP="00BB1671">
      <w:pPr>
        <w:pStyle w:val="Prrafodelista"/>
        <w:spacing w:after="0" w:line="360" w:lineRule="auto"/>
        <w:jc w:val="both"/>
        <w:rPr>
          <w:rFonts w:ascii="Arial" w:hAnsi="Arial" w:cs="Arial"/>
          <w:sz w:val="24"/>
          <w:szCs w:val="24"/>
          <w:lang w:val="es-MX"/>
        </w:rPr>
      </w:pPr>
    </w:p>
    <w:p w14:paraId="20C7ACA1" w14:textId="77777777" w:rsidR="00E92AE8" w:rsidRPr="00E92AE8" w:rsidRDefault="00E92AE8" w:rsidP="00E92AE8">
      <w:pPr>
        <w:pStyle w:val="Prrafodelista"/>
        <w:numPr>
          <w:ilvl w:val="0"/>
          <w:numId w:val="1"/>
        </w:numPr>
        <w:spacing w:after="0" w:line="360" w:lineRule="auto"/>
        <w:jc w:val="both"/>
        <w:rPr>
          <w:rFonts w:ascii="Arial" w:hAnsi="Arial" w:cs="Arial"/>
          <w:sz w:val="24"/>
          <w:szCs w:val="24"/>
        </w:rPr>
      </w:pPr>
      <w:r w:rsidRPr="00E92AE8">
        <w:rPr>
          <w:rFonts w:ascii="Arial" w:hAnsi="Arial" w:cs="Arial"/>
          <w:sz w:val="24"/>
          <w:szCs w:val="24"/>
        </w:rPr>
        <w:t>Evaluación de la pérdida/ganancia de peso en ratones</w:t>
      </w:r>
    </w:p>
    <w:p w14:paraId="72C15205" w14:textId="4C2CA646" w:rsidR="00E92AE8" w:rsidRPr="00BB1671" w:rsidRDefault="00E92AE8" w:rsidP="00BB1671">
      <w:pPr>
        <w:spacing w:line="360" w:lineRule="auto"/>
        <w:jc w:val="both"/>
        <w:rPr>
          <w:rFonts w:ascii="Arial" w:hAnsi="Arial" w:cs="Arial"/>
          <w:sz w:val="24"/>
          <w:szCs w:val="24"/>
        </w:rPr>
      </w:pPr>
      <w:r w:rsidRPr="00840B11">
        <w:rPr>
          <w:rFonts w:ascii="Arial" w:hAnsi="Arial" w:cs="Arial"/>
          <w:sz w:val="24"/>
          <w:szCs w:val="24"/>
        </w:rPr>
        <w:t>El</w:t>
      </w:r>
      <w:r w:rsidR="00886035">
        <w:rPr>
          <w:rFonts w:ascii="Arial" w:hAnsi="Arial" w:cs="Arial"/>
          <w:sz w:val="24"/>
          <w:szCs w:val="24"/>
        </w:rPr>
        <w:t xml:space="preserve"> peso de los días 1, </w:t>
      </w:r>
      <w:r w:rsidR="00BB1671">
        <w:rPr>
          <w:rFonts w:ascii="Arial" w:hAnsi="Arial" w:cs="Arial"/>
          <w:sz w:val="24"/>
          <w:szCs w:val="24"/>
        </w:rPr>
        <w:t>3, 6, 9, 12 y 14 se registraron</w:t>
      </w:r>
      <w:r w:rsidR="00886035">
        <w:rPr>
          <w:rFonts w:ascii="Arial" w:hAnsi="Arial" w:cs="Arial"/>
          <w:sz w:val="24"/>
          <w:szCs w:val="24"/>
        </w:rPr>
        <w:t xml:space="preserve"> durante todo </w:t>
      </w:r>
      <w:r w:rsidRPr="00840B11">
        <w:rPr>
          <w:rFonts w:ascii="Arial" w:hAnsi="Arial" w:cs="Arial"/>
          <w:sz w:val="24"/>
          <w:szCs w:val="24"/>
        </w:rPr>
        <w:t>el estudio para el grupo de ensayo y control. Se calculó la diferen</w:t>
      </w:r>
      <w:r w:rsidR="00886035">
        <w:rPr>
          <w:rFonts w:ascii="Arial" w:hAnsi="Arial" w:cs="Arial"/>
          <w:sz w:val="24"/>
          <w:szCs w:val="24"/>
        </w:rPr>
        <w:t xml:space="preserve">cia de peso final menos inicial y se sometió a un análisis estadístico (t </w:t>
      </w:r>
      <w:proofErr w:type="spellStart"/>
      <w:r w:rsidR="00886035">
        <w:rPr>
          <w:rFonts w:ascii="Arial" w:hAnsi="Arial" w:cs="Arial"/>
          <w:sz w:val="24"/>
          <w:szCs w:val="24"/>
        </w:rPr>
        <w:t>Student</w:t>
      </w:r>
      <w:proofErr w:type="spellEnd"/>
      <w:r w:rsidR="00886035">
        <w:rPr>
          <w:rFonts w:ascii="Arial" w:hAnsi="Arial" w:cs="Arial"/>
          <w:sz w:val="24"/>
          <w:szCs w:val="24"/>
        </w:rPr>
        <w:t xml:space="preserve">) en el programa </w:t>
      </w:r>
      <w:proofErr w:type="spellStart"/>
      <w:r w:rsidR="00886035">
        <w:rPr>
          <w:rFonts w:ascii="Arial" w:hAnsi="Arial" w:cs="Arial"/>
          <w:sz w:val="24"/>
          <w:szCs w:val="24"/>
        </w:rPr>
        <w:t>Graphpad</w:t>
      </w:r>
      <w:proofErr w:type="spellEnd"/>
      <w:r w:rsidR="00886035">
        <w:rPr>
          <w:rFonts w:ascii="Arial" w:hAnsi="Arial" w:cs="Arial"/>
          <w:sz w:val="24"/>
          <w:szCs w:val="24"/>
        </w:rPr>
        <w:t xml:space="preserve"> </w:t>
      </w:r>
      <w:proofErr w:type="spellStart"/>
      <w:r w:rsidR="00886035">
        <w:rPr>
          <w:rFonts w:ascii="Arial" w:hAnsi="Arial" w:cs="Arial"/>
          <w:sz w:val="24"/>
          <w:szCs w:val="24"/>
        </w:rPr>
        <w:t>Prism</w:t>
      </w:r>
      <w:proofErr w:type="spellEnd"/>
      <w:r w:rsidR="00886035">
        <w:rPr>
          <w:rFonts w:ascii="Arial" w:hAnsi="Arial" w:cs="Arial"/>
          <w:sz w:val="24"/>
          <w:szCs w:val="24"/>
        </w:rPr>
        <w:t>® 5.01.</w:t>
      </w:r>
    </w:p>
    <w:p w14:paraId="7D748AEA" w14:textId="77777777" w:rsidR="00191801" w:rsidRDefault="00191801" w:rsidP="00947E8A">
      <w:pPr>
        <w:pStyle w:val="Sinespaciado"/>
        <w:spacing w:line="360" w:lineRule="auto"/>
        <w:jc w:val="both"/>
        <w:rPr>
          <w:rFonts w:ascii="Arial" w:hAnsi="Arial" w:cs="Arial"/>
          <w:color w:val="000000" w:themeColor="text1"/>
          <w:sz w:val="24"/>
          <w:szCs w:val="24"/>
        </w:rPr>
      </w:pPr>
      <w:r>
        <w:rPr>
          <w:rFonts w:ascii="Arial" w:hAnsi="Arial" w:cs="Arial"/>
          <w:color w:val="000000" w:themeColor="text1"/>
          <w:sz w:val="24"/>
          <w:szCs w:val="24"/>
        </w:rPr>
        <w:t>3.- Resultados</w:t>
      </w:r>
    </w:p>
    <w:p w14:paraId="7B023202" w14:textId="77777777" w:rsidR="00C13FB7" w:rsidRDefault="00C13FB7" w:rsidP="00947E8A">
      <w:pPr>
        <w:pStyle w:val="Sinespaciado"/>
        <w:spacing w:line="360" w:lineRule="auto"/>
        <w:jc w:val="both"/>
        <w:rPr>
          <w:rFonts w:ascii="Arial" w:hAnsi="Arial" w:cs="Arial"/>
          <w:color w:val="000000" w:themeColor="text1"/>
          <w:sz w:val="24"/>
          <w:szCs w:val="24"/>
        </w:rPr>
      </w:pPr>
      <w:r>
        <w:rPr>
          <w:rFonts w:ascii="Arial" w:hAnsi="Arial" w:cs="Arial"/>
          <w:color w:val="000000" w:themeColor="text1"/>
          <w:sz w:val="24"/>
          <w:szCs w:val="24"/>
        </w:rPr>
        <w:t>3.1 Toxicidad oral aguda.</w:t>
      </w:r>
    </w:p>
    <w:p w14:paraId="1E457270" w14:textId="77777777" w:rsidR="00C13FB7" w:rsidRDefault="00C13FB7" w:rsidP="00C13FB7">
      <w:pPr>
        <w:spacing w:after="0"/>
        <w:ind w:firstLine="720"/>
        <w:jc w:val="both"/>
        <w:rPr>
          <w:rFonts w:ascii="Arial" w:eastAsiaTheme="minorHAnsi" w:hAnsi="Arial" w:cs="Arial"/>
          <w:color w:val="000000" w:themeColor="text1"/>
          <w:sz w:val="24"/>
          <w:szCs w:val="24"/>
          <w:lang w:val="es-MX" w:eastAsia="en-US"/>
        </w:rPr>
      </w:pPr>
      <w:r w:rsidRPr="00C13FB7">
        <w:rPr>
          <w:rFonts w:ascii="Arial" w:eastAsiaTheme="minorHAnsi" w:hAnsi="Arial" w:cs="Arial"/>
          <w:color w:val="000000" w:themeColor="text1"/>
          <w:sz w:val="24"/>
          <w:szCs w:val="24"/>
          <w:lang w:val="es-MX" w:eastAsia="en-US"/>
        </w:rPr>
        <w:t xml:space="preserve">Se realizó un primer estudio preliminar en un animal con una dosis exploratoria de 300 mg/kg, el cual mostró signos de toxicidad evidentes, por lo que se decidió utilizar dicha dosis para el estudio principal (Fig. 1). </w:t>
      </w:r>
    </w:p>
    <w:p w14:paraId="6943E1F7" w14:textId="67F3ABC9" w:rsidR="00FF279D" w:rsidRDefault="00C13FB7" w:rsidP="00C13FB7">
      <w:pPr>
        <w:spacing w:after="0"/>
        <w:ind w:firstLine="720"/>
        <w:jc w:val="both"/>
        <w:rPr>
          <w:rFonts w:ascii="Arial" w:eastAsiaTheme="minorHAnsi" w:hAnsi="Arial" w:cs="Arial"/>
          <w:color w:val="000000" w:themeColor="text1"/>
          <w:sz w:val="24"/>
          <w:szCs w:val="24"/>
          <w:lang w:val="es-MX" w:eastAsia="en-US"/>
        </w:rPr>
      </w:pPr>
      <w:r w:rsidRPr="00C13FB7">
        <w:rPr>
          <w:rFonts w:ascii="Arial" w:eastAsiaTheme="minorHAnsi" w:hAnsi="Arial" w:cs="Arial"/>
          <w:color w:val="000000" w:themeColor="text1"/>
          <w:sz w:val="24"/>
          <w:szCs w:val="24"/>
          <w:lang w:val="es-MX" w:eastAsia="en-US"/>
        </w:rPr>
        <w:t>En la segunda etapa, los animales del grupo de ensayo (dosis 300</w:t>
      </w:r>
      <w:r w:rsidR="00BB1671">
        <w:rPr>
          <w:rFonts w:ascii="Arial" w:eastAsiaTheme="minorHAnsi" w:hAnsi="Arial" w:cs="Arial"/>
          <w:color w:val="000000" w:themeColor="text1"/>
          <w:sz w:val="24"/>
          <w:szCs w:val="24"/>
          <w:lang w:val="es-MX" w:eastAsia="en-US"/>
        </w:rPr>
        <w:t xml:space="preserve"> </w:t>
      </w:r>
      <w:r w:rsidRPr="00C13FB7">
        <w:rPr>
          <w:rFonts w:ascii="Arial" w:eastAsiaTheme="minorHAnsi" w:hAnsi="Arial" w:cs="Arial"/>
          <w:color w:val="000000" w:themeColor="text1"/>
          <w:sz w:val="24"/>
          <w:szCs w:val="24"/>
          <w:lang w:val="es-MX" w:eastAsia="en-US"/>
        </w:rPr>
        <w:t>mg/Kg) mostraron apatía moderada e intensa</w:t>
      </w:r>
      <w:r w:rsidR="00FF279D">
        <w:rPr>
          <w:rFonts w:ascii="Arial" w:eastAsiaTheme="minorHAnsi" w:hAnsi="Arial" w:cs="Arial"/>
          <w:color w:val="000000" w:themeColor="text1"/>
          <w:sz w:val="24"/>
          <w:szCs w:val="24"/>
          <w:lang w:val="es-MX" w:eastAsia="en-US"/>
        </w:rPr>
        <w:t xml:space="preserve"> posterior a la administración</w:t>
      </w:r>
      <w:r w:rsidRPr="00C13FB7">
        <w:rPr>
          <w:rFonts w:ascii="Arial" w:eastAsiaTheme="minorHAnsi" w:hAnsi="Arial" w:cs="Arial"/>
          <w:color w:val="000000" w:themeColor="text1"/>
          <w:sz w:val="24"/>
          <w:szCs w:val="24"/>
          <w:lang w:val="es-MX" w:eastAsia="en-US"/>
        </w:rPr>
        <w:t xml:space="preserve"> que perduró por dos a tres días; se observó disminución del movimiento, disminución de reflejos, </w:t>
      </w:r>
      <w:r w:rsidRPr="00C13FB7">
        <w:rPr>
          <w:rFonts w:ascii="Arial" w:eastAsiaTheme="minorHAnsi" w:hAnsi="Arial" w:cs="Arial"/>
          <w:color w:val="000000" w:themeColor="text1"/>
          <w:sz w:val="24"/>
          <w:szCs w:val="24"/>
          <w:lang w:val="es-MX" w:eastAsia="en-US"/>
        </w:rPr>
        <w:lastRenderedPageBreak/>
        <w:t>desorientación, piloerección, caída de pelaje, disminución de la apertura ocular y moderadas palpitaciones estomacales. Mientras que el grupo control no presentó ninguna alteración clínica observable.</w:t>
      </w:r>
    </w:p>
    <w:p w14:paraId="6C40B22B" w14:textId="00072140" w:rsidR="00C13FB7" w:rsidRDefault="00C13FB7" w:rsidP="00C13FB7">
      <w:pPr>
        <w:spacing w:after="0"/>
        <w:ind w:firstLine="720"/>
        <w:jc w:val="both"/>
        <w:rPr>
          <w:rFonts w:ascii="Arial" w:eastAsiaTheme="minorHAnsi" w:hAnsi="Arial" w:cs="Arial"/>
          <w:color w:val="000000" w:themeColor="text1"/>
          <w:sz w:val="24"/>
          <w:szCs w:val="24"/>
          <w:lang w:val="es-MX" w:eastAsia="en-US"/>
        </w:rPr>
      </w:pPr>
      <w:r w:rsidRPr="00C13FB7">
        <w:rPr>
          <w:rFonts w:ascii="Arial" w:eastAsiaTheme="minorHAnsi" w:hAnsi="Arial" w:cs="Arial"/>
          <w:color w:val="000000" w:themeColor="text1"/>
          <w:sz w:val="24"/>
          <w:szCs w:val="24"/>
          <w:lang w:val="es-MX" w:eastAsia="en-US"/>
        </w:rPr>
        <w:t xml:space="preserve"> A las 22:20 horas posteriores a la administración, un animal del grupo de ensayo presentó convulsiones violentas acompañadas jadeos, por lo cual se procedió a practicarle eutanasia por dislocación cervical</w:t>
      </w:r>
      <w:r w:rsidR="00E25F57">
        <w:rPr>
          <w:rFonts w:ascii="Arial" w:eastAsiaTheme="minorHAnsi" w:hAnsi="Arial" w:cs="Arial"/>
          <w:color w:val="000000" w:themeColor="text1"/>
          <w:sz w:val="24"/>
          <w:szCs w:val="24"/>
          <w:lang w:val="es-MX" w:eastAsia="en-US"/>
        </w:rPr>
        <w:t>,</w:t>
      </w:r>
      <w:r w:rsidRPr="00C13FB7">
        <w:rPr>
          <w:rFonts w:ascii="Arial" w:eastAsiaTheme="minorHAnsi" w:hAnsi="Arial" w:cs="Arial"/>
          <w:color w:val="000000" w:themeColor="text1"/>
          <w:sz w:val="24"/>
          <w:szCs w:val="24"/>
          <w:lang w:val="es-MX" w:eastAsia="en-US"/>
        </w:rPr>
        <w:t xml:space="preserve"> utilizando cloroformo como agente sedante.</w:t>
      </w:r>
      <w:r w:rsidR="00886035">
        <w:rPr>
          <w:rFonts w:ascii="Arial" w:eastAsiaTheme="minorHAnsi" w:hAnsi="Arial" w:cs="Arial"/>
          <w:color w:val="000000" w:themeColor="text1"/>
          <w:sz w:val="24"/>
          <w:szCs w:val="24"/>
          <w:lang w:val="es-MX" w:eastAsia="en-US"/>
        </w:rPr>
        <w:t xml:space="preserve"> </w:t>
      </w:r>
      <w:r w:rsidRPr="00C13FB7">
        <w:rPr>
          <w:rFonts w:ascii="Arial" w:eastAsiaTheme="minorHAnsi" w:hAnsi="Arial" w:cs="Arial"/>
          <w:color w:val="000000" w:themeColor="text1"/>
          <w:sz w:val="24"/>
          <w:szCs w:val="24"/>
          <w:lang w:val="es-MX" w:eastAsia="en-US"/>
        </w:rPr>
        <w:t>Con base a los signo</w:t>
      </w:r>
      <w:r w:rsidR="00886035">
        <w:rPr>
          <w:rFonts w:ascii="Arial" w:eastAsiaTheme="minorHAnsi" w:hAnsi="Arial" w:cs="Arial"/>
          <w:color w:val="000000" w:themeColor="text1"/>
          <w:sz w:val="24"/>
          <w:szCs w:val="24"/>
          <w:lang w:val="es-MX" w:eastAsia="en-US"/>
        </w:rPr>
        <w:t>s de toxicidad, el EEAm se clasifica</w:t>
      </w:r>
      <w:r w:rsidRPr="00C13FB7">
        <w:rPr>
          <w:rFonts w:ascii="Arial" w:eastAsiaTheme="minorHAnsi" w:hAnsi="Arial" w:cs="Arial"/>
          <w:color w:val="000000" w:themeColor="text1"/>
          <w:sz w:val="24"/>
          <w:szCs w:val="24"/>
          <w:lang w:val="es-MX" w:eastAsia="en-US"/>
        </w:rPr>
        <w:t xml:space="preserve"> dentro de la categoría 4 acorde al sistema GSH (H302 Código de declaración de peligro) como un extracto Nocivo en caso de ingestión; basado en la directriz 420 de la OCDE</w:t>
      </w:r>
      <w:r w:rsidR="00CE0866">
        <w:rPr>
          <w:rFonts w:ascii="Arial" w:eastAsiaTheme="minorHAnsi" w:hAnsi="Arial" w:cs="Arial"/>
          <w:color w:val="000000" w:themeColor="text1"/>
          <w:sz w:val="24"/>
          <w:szCs w:val="24"/>
          <w:lang w:val="es-MX" w:eastAsia="en-US"/>
        </w:rPr>
        <w:t>, el procedimiento realizado se describe en la figura 2.</w:t>
      </w:r>
      <w:r w:rsidR="002744E0">
        <w:rPr>
          <w:rFonts w:ascii="Arial" w:eastAsiaTheme="minorHAnsi" w:hAnsi="Arial" w:cs="Arial"/>
          <w:color w:val="000000" w:themeColor="text1"/>
          <w:sz w:val="24"/>
          <w:szCs w:val="24"/>
          <w:lang w:val="es-MX" w:eastAsia="en-US"/>
        </w:rPr>
        <w:t xml:space="preserve"> Posterior a la administración </w:t>
      </w:r>
      <w:r w:rsidR="00CE0866">
        <w:rPr>
          <w:rFonts w:ascii="Arial" w:eastAsiaTheme="minorHAnsi" w:hAnsi="Arial" w:cs="Arial"/>
          <w:color w:val="000000" w:themeColor="text1"/>
          <w:sz w:val="24"/>
          <w:szCs w:val="24"/>
          <w:lang w:val="es-MX" w:eastAsia="en-US"/>
        </w:rPr>
        <w:t xml:space="preserve">y con la finalidad de observar posibles efectos tóxicos a largo plazo se monitoreó la toxicidad aparente en los animales y se registró el cambio en el peso corporal por 14 días como se observa en la figura 3, donde </w:t>
      </w:r>
      <w:r w:rsidR="00837F34">
        <w:rPr>
          <w:rFonts w:ascii="Arial" w:eastAsiaTheme="minorHAnsi" w:hAnsi="Arial" w:cs="Arial"/>
          <w:color w:val="000000" w:themeColor="text1"/>
          <w:sz w:val="24"/>
          <w:szCs w:val="24"/>
          <w:lang w:val="es-MX" w:eastAsia="en-US"/>
        </w:rPr>
        <w:t>se observó una única diferencia</w:t>
      </w:r>
      <w:r w:rsidR="00CE0866" w:rsidRPr="00BB1671">
        <w:rPr>
          <w:rFonts w:ascii="Arial" w:hAnsi="Arial" w:cs="Arial"/>
          <w:color w:val="000000" w:themeColor="text1"/>
          <w:szCs w:val="24"/>
        </w:rPr>
        <w:t xml:space="preserve"> significativa al tercer día de la administración (p˂0.05) prueba t </w:t>
      </w:r>
      <w:proofErr w:type="spellStart"/>
      <w:r w:rsidR="00CE0866" w:rsidRPr="00BB1671">
        <w:rPr>
          <w:rFonts w:ascii="Arial" w:hAnsi="Arial" w:cs="Arial"/>
          <w:color w:val="000000" w:themeColor="text1"/>
          <w:szCs w:val="24"/>
        </w:rPr>
        <w:t>Student</w:t>
      </w:r>
      <w:proofErr w:type="spellEnd"/>
      <w:r w:rsidR="00837F34">
        <w:rPr>
          <w:rFonts w:ascii="Arial" w:hAnsi="Arial" w:cs="Arial"/>
          <w:color w:val="000000" w:themeColor="text1"/>
          <w:szCs w:val="24"/>
        </w:rPr>
        <w:t>.</w:t>
      </w:r>
    </w:p>
    <w:p w14:paraId="09001BFA" w14:textId="77777777" w:rsidR="00C13FB7" w:rsidRDefault="00C13FB7" w:rsidP="00C13FB7">
      <w:pPr>
        <w:spacing w:after="0"/>
        <w:ind w:firstLine="720"/>
        <w:jc w:val="both"/>
        <w:rPr>
          <w:rFonts w:ascii="Arial" w:eastAsiaTheme="minorHAnsi" w:hAnsi="Arial" w:cs="Arial"/>
          <w:color w:val="000000" w:themeColor="text1"/>
          <w:sz w:val="24"/>
          <w:szCs w:val="24"/>
          <w:lang w:val="es-MX" w:eastAsia="en-US"/>
        </w:rPr>
      </w:pPr>
    </w:p>
    <w:p w14:paraId="3971E032" w14:textId="42A584F2" w:rsidR="00C13FB7" w:rsidRDefault="00CE0866" w:rsidP="00C13FB7">
      <w:pPr>
        <w:spacing w:after="0"/>
        <w:ind w:firstLine="720"/>
        <w:jc w:val="both"/>
        <w:rPr>
          <w:rFonts w:ascii="Arial" w:eastAsiaTheme="minorHAnsi" w:hAnsi="Arial" w:cs="Arial"/>
          <w:color w:val="000000" w:themeColor="text1"/>
          <w:sz w:val="24"/>
          <w:szCs w:val="24"/>
          <w:lang w:val="es-MX" w:eastAsia="en-US"/>
        </w:rPr>
      </w:pPr>
      <w:r>
        <w:rPr>
          <w:rFonts w:ascii="Arial" w:eastAsiaTheme="minorHAnsi" w:hAnsi="Arial" w:cs="Arial"/>
          <w:noProof/>
          <w:color w:val="000000" w:themeColor="text1"/>
          <w:sz w:val="24"/>
          <w:szCs w:val="24"/>
        </w:rPr>
        <w:drawing>
          <wp:anchor distT="0" distB="0" distL="114300" distR="114300" simplePos="0" relativeHeight="251662848" behindDoc="0" locked="0" layoutInCell="1" allowOverlap="1" wp14:anchorId="6A48291F" wp14:editId="73FEB72F">
            <wp:simplePos x="0" y="0"/>
            <wp:positionH relativeFrom="column">
              <wp:posOffset>386080</wp:posOffset>
            </wp:positionH>
            <wp:positionV relativeFrom="paragraph">
              <wp:posOffset>147320</wp:posOffset>
            </wp:positionV>
            <wp:extent cx="4961890" cy="4114800"/>
            <wp:effectExtent l="0" t="0" r="0" b="0"/>
            <wp:wrapSquare wrapText="bothSides"/>
            <wp:docPr id="3" name="2 Imagen" descr="Esquema TOA princip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TOA principal 2.jpg"/>
                    <pic:cNvPicPr/>
                  </pic:nvPicPr>
                  <pic:blipFill>
                    <a:blip r:embed="rId10" cstate="print"/>
                    <a:srcRect l="11788" t="14732" r="8733" b="19469"/>
                    <a:stretch>
                      <a:fillRect/>
                    </a:stretch>
                  </pic:blipFill>
                  <pic:spPr>
                    <a:xfrm>
                      <a:off x="0" y="0"/>
                      <a:ext cx="4961890" cy="4114800"/>
                    </a:xfrm>
                    <a:prstGeom prst="rect">
                      <a:avLst/>
                    </a:prstGeom>
                  </pic:spPr>
                </pic:pic>
              </a:graphicData>
            </a:graphic>
            <wp14:sizeRelH relativeFrom="margin">
              <wp14:pctWidth>0</wp14:pctWidth>
            </wp14:sizeRelH>
            <wp14:sizeRelV relativeFrom="margin">
              <wp14:pctHeight>0</wp14:pctHeight>
            </wp14:sizeRelV>
          </wp:anchor>
        </w:drawing>
      </w:r>
    </w:p>
    <w:p w14:paraId="60B2A904" w14:textId="6DFDF4CE" w:rsidR="00C13FB7" w:rsidRPr="00C13FB7" w:rsidRDefault="00C13FB7" w:rsidP="00C13FB7">
      <w:pPr>
        <w:spacing w:after="0"/>
        <w:ind w:firstLine="720"/>
        <w:jc w:val="both"/>
        <w:rPr>
          <w:rFonts w:ascii="Arial" w:eastAsiaTheme="minorHAnsi" w:hAnsi="Arial" w:cs="Arial"/>
          <w:color w:val="000000" w:themeColor="text1"/>
          <w:sz w:val="24"/>
          <w:szCs w:val="24"/>
          <w:lang w:val="es-MX" w:eastAsia="en-US"/>
        </w:rPr>
      </w:pPr>
    </w:p>
    <w:p w14:paraId="410AE9E7" w14:textId="77777777" w:rsidR="00191801" w:rsidRPr="00C13FB7" w:rsidRDefault="00191801" w:rsidP="00947E8A">
      <w:pPr>
        <w:pStyle w:val="Sinespaciado"/>
        <w:spacing w:line="360" w:lineRule="auto"/>
        <w:jc w:val="both"/>
        <w:rPr>
          <w:rFonts w:ascii="Arial" w:hAnsi="Arial" w:cs="Arial"/>
          <w:color w:val="000000" w:themeColor="text1"/>
          <w:sz w:val="24"/>
          <w:szCs w:val="24"/>
          <w:lang w:val="es-ES_tradnl"/>
        </w:rPr>
      </w:pPr>
    </w:p>
    <w:p w14:paraId="5ABC0886" w14:textId="77777777" w:rsidR="00FF279D" w:rsidRDefault="00FF279D" w:rsidP="00E92AE8">
      <w:pPr>
        <w:jc w:val="both"/>
        <w:rPr>
          <w:rFonts w:ascii="Arial" w:hAnsi="Arial" w:cs="Arial"/>
          <w:color w:val="000000" w:themeColor="text1"/>
          <w:sz w:val="24"/>
          <w:szCs w:val="24"/>
          <w:lang w:val="es-MX"/>
        </w:rPr>
      </w:pPr>
    </w:p>
    <w:p w14:paraId="7A9FF310" w14:textId="77777777" w:rsidR="00E92AE8" w:rsidRDefault="00E92AE8" w:rsidP="00E92AE8">
      <w:pPr>
        <w:jc w:val="both"/>
        <w:rPr>
          <w:rFonts w:ascii="Arial" w:hAnsi="Arial" w:cs="Arial"/>
          <w:color w:val="000000" w:themeColor="text1"/>
          <w:sz w:val="24"/>
          <w:szCs w:val="24"/>
          <w:lang w:val="es-MX"/>
        </w:rPr>
      </w:pPr>
    </w:p>
    <w:p w14:paraId="653CACB7" w14:textId="77777777" w:rsidR="00E92AE8" w:rsidRDefault="00E92AE8" w:rsidP="00E92AE8">
      <w:pPr>
        <w:jc w:val="both"/>
        <w:rPr>
          <w:rFonts w:ascii="Arial" w:hAnsi="Arial" w:cs="Arial"/>
          <w:color w:val="000000" w:themeColor="text1"/>
          <w:sz w:val="24"/>
          <w:szCs w:val="24"/>
        </w:rPr>
      </w:pPr>
    </w:p>
    <w:p w14:paraId="63BAC4B7" w14:textId="77777777" w:rsidR="00E92AE8" w:rsidRDefault="00E92AE8" w:rsidP="00FB5633">
      <w:pPr>
        <w:ind w:firstLine="720"/>
        <w:jc w:val="both"/>
        <w:rPr>
          <w:rFonts w:ascii="Arial" w:hAnsi="Arial" w:cs="Arial"/>
          <w:color w:val="000000" w:themeColor="text1"/>
          <w:sz w:val="24"/>
          <w:szCs w:val="24"/>
        </w:rPr>
      </w:pPr>
    </w:p>
    <w:p w14:paraId="0F199153" w14:textId="77777777" w:rsidR="00E92AE8" w:rsidRDefault="00E92AE8" w:rsidP="00FB5633">
      <w:pPr>
        <w:ind w:firstLine="720"/>
        <w:jc w:val="both"/>
        <w:rPr>
          <w:rFonts w:ascii="Arial" w:hAnsi="Arial" w:cs="Arial"/>
          <w:color w:val="000000" w:themeColor="text1"/>
          <w:sz w:val="24"/>
          <w:szCs w:val="24"/>
        </w:rPr>
      </w:pPr>
    </w:p>
    <w:p w14:paraId="62E8E5C2" w14:textId="77777777" w:rsidR="00E92AE8" w:rsidRDefault="00E92AE8" w:rsidP="00FB5633">
      <w:pPr>
        <w:ind w:firstLine="720"/>
        <w:jc w:val="both"/>
        <w:rPr>
          <w:rFonts w:ascii="Arial" w:hAnsi="Arial" w:cs="Arial"/>
          <w:color w:val="000000" w:themeColor="text1"/>
          <w:sz w:val="24"/>
          <w:szCs w:val="24"/>
        </w:rPr>
      </w:pPr>
    </w:p>
    <w:p w14:paraId="1BC31DB1" w14:textId="77777777" w:rsidR="00E92AE8" w:rsidRDefault="00E92AE8" w:rsidP="00FB5633">
      <w:pPr>
        <w:ind w:firstLine="720"/>
        <w:jc w:val="both"/>
        <w:rPr>
          <w:rFonts w:ascii="Arial" w:hAnsi="Arial" w:cs="Arial"/>
          <w:color w:val="000000" w:themeColor="text1"/>
          <w:sz w:val="24"/>
          <w:szCs w:val="24"/>
        </w:rPr>
      </w:pPr>
    </w:p>
    <w:p w14:paraId="2756DD74" w14:textId="77777777" w:rsidR="00E92AE8" w:rsidRDefault="00E92AE8" w:rsidP="00FB5633">
      <w:pPr>
        <w:ind w:firstLine="720"/>
        <w:jc w:val="both"/>
        <w:rPr>
          <w:rFonts w:ascii="Arial" w:hAnsi="Arial" w:cs="Arial"/>
          <w:color w:val="000000" w:themeColor="text1"/>
          <w:sz w:val="24"/>
          <w:szCs w:val="24"/>
        </w:rPr>
      </w:pPr>
    </w:p>
    <w:p w14:paraId="4A7A6FED" w14:textId="77777777" w:rsidR="0029335A" w:rsidRDefault="0029335A" w:rsidP="00FB5633">
      <w:pPr>
        <w:ind w:firstLine="720"/>
        <w:jc w:val="both"/>
        <w:rPr>
          <w:rFonts w:ascii="Arial" w:hAnsi="Arial" w:cs="Arial"/>
          <w:b/>
          <w:color w:val="000000" w:themeColor="text1"/>
          <w:sz w:val="24"/>
          <w:szCs w:val="24"/>
        </w:rPr>
      </w:pPr>
    </w:p>
    <w:p w14:paraId="27ADB4EA" w14:textId="77777777" w:rsidR="00CE0866" w:rsidRDefault="00CE0866" w:rsidP="00BB1671">
      <w:pPr>
        <w:spacing w:after="0"/>
        <w:rPr>
          <w:rFonts w:ascii="Arial" w:eastAsiaTheme="minorHAnsi" w:hAnsi="Arial" w:cs="Arial"/>
          <w:b/>
          <w:color w:val="000000" w:themeColor="text1"/>
          <w:szCs w:val="24"/>
          <w:lang w:val="es-MX" w:eastAsia="en-US"/>
        </w:rPr>
      </w:pPr>
    </w:p>
    <w:p w14:paraId="4E023FB6" w14:textId="77777777" w:rsidR="00CE0866" w:rsidRDefault="00CE0866" w:rsidP="00BB1671">
      <w:pPr>
        <w:spacing w:after="0"/>
        <w:rPr>
          <w:rFonts w:ascii="Arial" w:eastAsiaTheme="minorHAnsi" w:hAnsi="Arial" w:cs="Arial"/>
          <w:b/>
          <w:color w:val="000000" w:themeColor="text1"/>
          <w:szCs w:val="24"/>
          <w:lang w:val="es-MX" w:eastAsia="en-US"/>
        </w:rPr>
      </w:pPr>
    </w:p>
    <w:p w14:paraId="475306A1" w14:textId="77777777" w:rsidR="00CE0866" w:rsidRDefault="00CE0866" w:rsidP="00BB1671">
      <w:pPr>
        <w:spacing w:after="0"/>
        <w:rPr>
          <w:rFonts w:ascii="Arial" w:eastAsiaTheme="minorHAnsi" w:hAnsi="Arial" w:cs="Arial"/>
          <w:b/>
          <w:color w:val="000000" w:themeColor="text1"/>
          <w:szCs w:val="24"/>
          <w:lang w:val="es-MX" w:eastAsia="en-US"/>
        </w:rPr>
      </w:pPr>
    </w:p>
    <w:p w14:paraId="57321C56" w14:textId="77777777" w:rsidR="00CE0866" w:rsidRDefault="00CE0866" w:rsidP="00BB1671">
      <w:pPr>
        <w:spacing w:after="0"/>
        <w:rPr>
          <w:rFonts w:ascii="Arial" w:eastAsiaTheme="minorHAnsi" w:hAnsi="Arial" w:cs="Arial"/>
          <w:b/>
          <w:color w:val="000000" w:themeColor="text1"/>
          <w:szCs w:val="24"/>
          <w:lang w:val="es-MX" w:eastAsia="en-US"/>
        </w:rPr>
      </w:pPr>
    </w:p>
    <w:p w14:paraId="387604E1" w14:textId="77777777" w:rsidR="00CE0866" w:rsidRDefault="00CE0866" w:rsidP="00BB1671">
      <w:pPr>
        <w:spacing w:after="0"/>
        <w:rPr>
          <w:rFonts w:ascii="Arial" w:eastAsiaTheme="minorHAnsi" w:hAnsi="Arial" w:cs="Arial"/>
          <w:b/>
          <w:color w:val="000000" w:themeColor="text1"/>
          <w:szCs w:val="24"/>
          <w:lang w:val="es-MX" w:eastAsia="en-US"/>
        </w:rPr>
      </w:pPr>
    </w:p>
    <w:p w14:paraId="768E3D89" w14:textId="77777777" w:rsidR="00BB1671" w:rsidRPr="00BB1671" w:rsidRDefault="00BB1671" w:rsidP="00BB1671">
      <w:pPr>
        <w:spacing w:after="0"/>
        <w:rPr>
          <w:rFonts w:ascii="Arial" w:eastAsiaTheme="minorHAnsi" w:hAnsi="Arial" w:cs="Arial"/>
          <w:color w:val="000000" w:themeColor="text1"/>
          <w:szCs w:val="24"/>
          <w:lang w:val="es-MX" w:eastAsia="en-US"/>
        </w:rPr>
      </w:pPr>
      <w:r w:rsidRPr="00BB1671">
        <w:rPr>
          <w:rFonts w:ascii="Arial" w:eastAsiaTheme="minorHAnsi" w:hAnsi="Arial" w:cs="Arial"/>
          <w:b/>
          <w:color w:val="000000" w:themeColor="text1"/>
          <w:szCs w:val="24"/>
          <w:lang w:val="es-MX" w:eastAsia="en-US"/>
        </w:rPr>
        <w:t>Fig. 2</w:t>
      </w:r>
      <w:r w:rsidRPr="00BB1671">
        <w:rPr>
          <w:rFonts w:ascii="Arial" w:eastAsiaTheme="minorHAnsi" w:hAnsi="Arial" w:cs="Arial"/>
          <w:color w:val="000000" w:themeColor="text1"/>
          <w:szCs w:val="24"/>
          <w:lang w:val="es-MX" w:eastAsia="en-US"/>
        </w:rPr>
        <w:t>: procedimiento seguido para evaluar toxicidad oral aguda de acuerdo al protocolo 420 de la OCDE.</w:t>
      </w:r>
    </w:p>
    <w:p w14:paraId="4292E386" w14:textId="77777777" w:rsidR="00886035" w:rsidRDefault="00886035" w:rsidP="00C84AF5">
      <w:pPr>
        <w:jc w:val="both"/>
        <w:rPr>
          <w:rFonts w:ascii="Arial" w:hAnsi="Arial" w:cs="Arial"/>
          <w:b/>
          <w:color w:val="000000" w:themeColor="text1"/>
          <w:sz w:val="24"/>
          <w:szCs w:val="24"/>
        </w:rPr>
      </w:pPr>
    </w:p>
    <w:p w14:paraId="6412F34F" w14:textId="1488B2DF" w:rsidR="00BB1671" w:rsidRPr="007D3C1E" w:rsidRDefault="0029335A" w:rsidP="007D3C1E">
      <w:pPr>
        <w:ind w:firstLine="720"/>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5E1E1279" wp14:editId="0B5AA183">
            <wp:extent cx="3991537" cy="2603291"/>
            <wp:effectExtent l="0" t="0" r="0" b="0"/>
            <wp:docPr id="1" name="0 Imagen" descr="variación de peso TOA 2017 E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ción de peso TOA 2017 EEAm.jpg"/>
                    <pic:cNvPicPr/>
                  </pic:nvPicPr>
                  <pic:blipFill>
                    <a:blip r:embed="rId11"/>
                    <a:srcRect l="1436" t="11489" r="5529" b="7610"/>
                    <a:stretch>
                      <a:fillRect/>
                    </a:stretch>
                  </pic:blipFill>
                  <pic:spPr>
                    <a:xfrm>
                      <a:off x="0" y="0"/>
                      <a:ext cx="4027102" cy="2626487"/>
                    </a:xfrm>
                    <a:prstGeom prst="rect">
                      <a:avLst/>
                    </a:prstGeom>
                  </pic:spPr>
                </pic:pic>
              </a:graphicData>
            </a:graphic>
          </wp:inline>
        </w:drawing>
      </w:r>
    </w:p>
    <w:p w14:paraId="3AA38380" w14:textId="2EF2CB06" w:rsidR="007D3C1E" w:rsidRDefault="00BB1671" w:rsidP="007D3C1E">
      <w:pPr>
        <w:ind w:left="720"/>
        <w:jc w:val="center"/>
        <w:rPr>
          <w:rFonts w:ascii="Arial" w:hAnsi="Arial" w:cs="Arial"/>
          <w:color w:val="000000" w:themeColor="text1"/>
          <w:szCs w:val="24"/>
        </w:rPr>
      </w:pPr>
      <w:r w:rsidRPr="00BB1671">
        <w:rPr>
          <w:rFonts w:ascii="Arial" w:hAnsi="Arial" w:cs="Arial"/>
          <w:b/>
          <w:color w:val="000000" w:themeColor="text1"/>
          <w:szCs w:val="24"/>
        </w:rPr>
        <w:t>Fig. 3</w:t>
      </w:r>
      <w:r w:rsidRPr="00BB1671">
        <w:rPr>
          <w:rFonts w:ascii="Arial" w:hAnsi="Arial" w:cs="Arial"/>
          <w:color w:val="000000" w:themeColor="text1"/>
          <w:szCs w:val="24"/>
        </w:rPr>
        <w:t>: Variación en gramos del peso corporal de los grupos a lo largo del ensayo. Se encontró evidencia estadística significativa al tercer día de la administr</w:t>
      </w:r>
      <w:r w:rsidR="007D3C1E">
        <w:rPr>
          <w:rFonts w:ascii="Arial" w:hAnsi="Arial" w:cs="Arial"/>
          <w:color w:val="000000" w:themeColor="text1"/>
          <w:szCs w:val="24"/>
        </w:rPr>
        <w:t xml:space="preserve">ación (p˂0.05) prueba t </w:t>
      </w:r>
      <w:proofErr w:type="spellStart"/>
      <w:r w:rsidR="007D3C1E">
        <w:rPr>
          <w:rFonts w:ascii="Arial" w:hAnsi="Arial" w:cs="Arial"/>
          <w:color w:val="000000" w:themeColor="text1"/>
          <w:szCs w:val="24"/>
        </w:rPr>
        <w:t>Student</w:t>
      </w:r>
      <w:proofErr w:type="spellEnd"/>
      <w:r w:rsidR="007D3C1E">
        <w:rPr>
          <w:rFonts w:ascii="Arial" w:hAnsi="Arial" w:cs="Arial"/>
          <w:color w:val="000000" w:themeColor="text1"/>
          <w:szCs w:val="24"/>
        </w:rPr>
        <w:t>.</w:t>
      </w:r>
    </w:p>
    <w:p w14:paraId="33637401" w14:textId="77777777" w:rsidR="007D3C1E" w:rsidRPr="007D3C1E" w:rsidRDefault="007D3C1E" w:rsidP="007D3C1E">
      <w:pPr>
        <w:ind w:left="720"/>
        <w:jc w:val="center"/>
        <w:rPr>
          <w:rFonts w:ascii="Arial" w:hAnsi="Arial" w:cs="Arial"/>
          <w:color w:val="000000" w:themeColor="text1"/>
          <w:szCs w:val="24"/>
        </w:rPr>
      </w:pPr>
    </w:p>
    <w:p w14:paraId="0796F12B" w14:textId="23DADFEB" w:rsidR="00FF279D" w:rsidRDefault="00FF279D" w:rsidP="00FB5633">
      <w:pPr>
        <w:ind w:firstLine="720"/>
        <w:jc w:val="both"/>
        <w:rPr>
          <w:rFonts w:ascii="Arial" w:hAnsi="Arial" w:cs="Arial"/>
          <w:color w:val="000000" w:themeColor="text1"/>
          <w:sz w:val="24"/>
          <w:szCs w:val="24"/>
        </w:rPr>
      </w:pPr>
      <w:r>
        <w:rPr>
          <w:rFonts w:ascii="Arial" w:hAnsi="Arial" w:cs="Arial"/>
          <w:color w:val="000000" w:themeColor="text1"/>
          <w:sz w:val="24"/>
          <w:szCs w:val="24"/>
        </w:rPr>
        <w:t>3.2 Fraccionamiento cromatográfico</w:t>
      </w:r>
    </w:p>
    <w:p w14:paraId="47B446A5" w14:textId="7B8D7711" w:rsidR="007D3C1E" w:rsidRDefault="007D3C1E" w:rsidP="00FB5633">
      <w:pPr>
        <w:jc w:val="both"/>
        <w:rPr>
          <w:rFonts w:ascii="Arial" w:hAnsi="Arial" w:cs="Arial"/>
          <w:color w:val="000000" w:themeColor="text1"/>
          <w:sz w:val="24"/>
          <w:szCs w:val="24"/>
        </w:rPr>
      </w:pPr>
    </w:p>
    <w:p w14:paraId="44AEB984" w14:textId="391E9329" w:rsidR="00FF279D" w:rsidRDefault="007D3C1E" w:rsidP="00FB5633">
      <w:pPr>
        <w:jc w:val="both"/>
        <w:rPr>
          <w:rFonts w:ascii="Arial" w:hAnsi="Arial" w:cs="Arial"/>
          <w:color w:val="000000" w:themeColor="text1"/>
          <w:sz w:val="24"/>
          <w:szCs w:val="24"/>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14:anchorId="71E43218" wp14:editId="6DC6BFF5">
            <wp:simplePos x="0" y="0"/>
            <wp:positionH relativeFrom="column">
              <wp:posOffset>2417445</wp:posOffset>
            </wp:positionH>
            <wp:positionV relativeFrom="paragraph">
              <wp:posOffset>64135</wp:posOffset>
            </wp:positionV>
            <wp:extent cx="3773170" cy="3427095"/>
            <wp:effectExtent l="0" t="0" r="0" b="0"/>
            <wp:wrapSquare wrapText="bothSides"/>
            <wp:docPr id="5" name="4 Imagen" descr="Imagen tabla de rendimi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tabla de rendimientos.jpg"/>
                    <pic:cNvPicPr/>
                  </pic:nvPicPr>
                  <pic:blipFill>
                    <a:blip r:embed="rId12"/>
                    <a:srcRect l="20893" t="13546" r="6061" b="3586"/>
                    <a:stretch>
                      <a:fillRect/>
                    </a:stretch>
                  </pic:blipFill>
                  <pic:spPr>
                    <a:xfrm>
                      <a:off x="0" y="0"/>
                      <a:ext cx="3773170" cy="3427095"/>
                    </a:xfrm>
                    <a:prstGeom prst="rect">
                      <a:avLst/>
                    </a:prstGeom>
                  </pic:spPr>
                </pic:pic>
              </a:graphicData>
            </a:graphic>
            <wp14:sizeRelH relativeFrom="margin">
              <wp14:pctWidth>0</wp14:pctWidth>
            </wp14:sizeRelH>
            <wp14:sizeRelV relativeFrom="margin">
              <wp14:pctHeight>0</wp14:pctHeight>
            </wp14:sizeRelV>
          </wp:anchor>
        </w:drawing>
      </w:r>
      <w:r w:rsidR="00FF279D" w:rsidRPr="00FF279D">
        <w:rPr>
          <w:rFonts w:ascii="Arial" w:hAnsi="Arial" w:cs="Arial"/>
          <w:color w:val="000000" w:themeColor="text1"/>
          <w:sz w:val="24"/>
          <w:szCs w:val="24"/>
        </w:rPr>
        <w:t xml:space="preserve">6.1793g de extracto de </w:t>
      </w:r>
      <w:r w:rsidR="00FF279D" w:rsidRPr="00FF279D">
        <w:rPr>
          <w:rFonts w:ascii="Arial" w:hAnsi="Arial" w:cs="Arial"/>
          <w:i/>
          <w:color w:val="000000" w:themeColor="text1"/>
          <w:sz w:val="24"/>
          <w:szCs w:val="24"/>
        </w:rPr>
        <w:t xml:space="preserve">A. </w:t>
      </w:r>
      <w:proofErr w:type="spellStart"/>
      <w:r w:rsidR="00FF279D" w:rsidRPr="00FF279D">
        <w:rPr>
          <w:rFonts w:ascii="Arial" w:hAnsi="Arial" w:cs="Arial"/>
          <w:i/>
          <w:color w:val="000000" w:themeColor="text1"/>
          <w:sz w:val="24"/>
          <w:szCs w:val="24"/>
        </w:rPr>
        <w:t>moluccana</w:t>
      </w:r>
      <w:proofErr w:type="spellEnd"/>
      <w:r w:rsidR="00FB5633">
        <w:rPr>
          <w:rFonts w:ascii="Arial" w:hAnsi="Arial" w:cs="Arial"/>
          <w:color w:val="000000" w:themeColor="text1"/>
          <w:sz w:val="24"/>
          <w:szCs w:val="24"/>
        </w:rPr>
        <w:t xml:space="preserve"> fueron sometidos a cromatografía en columna abierta CC. </w:t>
      </w:r>
      <w:r w:rsidR="00FF279D" w:rsidRPr="00FF279D">
        <w:rPr>
          <w:rFonts w:ascii="Arial" w:hAnsi="Arial" w:cs="Arial"/>
          <w:color w:val="000000" w:themeColor="text1"/>
          <w:sz w:val="24"/>
          <w:szCs w:val="24"/>
        </w:rPr>
        <w:t>Como fase móvil se utilizó un gradiente de polaridad: cloroformo 100%, acetato de etilo-cloroformo 5:5, acetato</w:t>
      </w:r>
      <w:r w:rsidR="00FB7224">
        <w:rPr>
          <w:rFonts w:ascii="Arial" w:hAnsi="Arial" w:cs="Arial"/>
          <w:color w:val="000000" w:themeColor="text1"/>
          <w:sz w:val="24"/>
          <w:szCs w:val="24"/>
        </w:rPr>
        <w:t xml:space="preserve"> de etilo</w:t>
      </w:r>
      <w:r w:rsidR="00FF279D" w:rsidRPr="00FF279D">
        <w:rPr>
          <w:rFonts w:ascii="Arial" w:hAnsi="Arial" w:cs="Arial"/>
          <w:color w:val="000000" w:themeColor="text1"/>
          <w:sz w:val="24"/>
          <w:szCs w:val="24"/>
        </w:rPr>
        <w:t xml:space="preserve"> 100%, acetato de etilo-metanol </w:t>
      </w:r>
      <w:r w:rsidR="00FB7224">
        <w:rPr>
          <w:rFonts w:ascii="Arial" w:hAnsi="Arial" w:cs="Arial"/>
          <w:color w:val="000000" w:themeColor="text1"/>
          <w:sz w:val="24"/>
          <w:szCs w:val="24"/>
        </w:rPr>
        <w:t xml:space="preserve">en proporciones </w:t>
      </w:r>
      <w:r w:rsidR="00FF279D" w:rsidRPr="00FF279D">
        <w:rPr>
          <w:rFonts w:ascii="Arial" w:hAnsi="Arial" w:cs="Arial"/>
          <w:color w:val="000000" w:themeColor="text1"/>
          <w:sz w:val="24"/>
          <w:szCs w:val="24"/>
        </w:rPr>
        <w:t>98:2, 95:5, 9</w:t>
      </w:r>
      <w:r w:rsidR="00FB7224">
        <w:rPr>
          <w:rFonts w:ascii="Arial" w:hAnsi="Arial" w:cs="Arial"/>
          <w:color w:val="000000" w:themeColor="text1"/>
          <w:sz w:val="24"/>
          <w:szCs w:val="24"/>
        </w:rPr>
        <w:t>0</w:t>
      </w:r>
      <w:r w:rsidR="00FF279D" w:rsidRPr="00FF279D">
        <w:rPr>
          <w:rFonts w:ascii="Arial" w:hAnsi="Arial" w:cs="Arial"/>
          <w:color w:val="000000" w:themeColor="text1"/>
          <w:sz w:val="24"/>
          <w:szCs w:val="24"/>
        </w:rPr>
        <w:t>:1</w:t>
      </w:r>
      <w:r w:rsidR="00FB7224">
        <w:rPr>
          <w:rFonts w:ascii="Arial" w:hAnsi="Arial" w:cs="Arial"/>
          <w:color w:val="000000" w:themeColor="text1"/>
          <w:sz w:val="24"/>
          <w:szCs w:val="24"/>
        </w:rPr>
        <w:t>0</w:t>
      </w:r>
      <w:r w:rsidR="00FF279D" w:rsidRPr="00FF279D">
        <w:rPr>
          <w:rFonts w:ascii="Arial" w:hAnsi="Arial" w:cs="Arial"/>
          <w:color w:val="000000" w:themeColor="text1"/>
          <w:sz w:val="24"/>
          <w:szCs w:val="24"/>
        </w:rPr>
        <w:t>, 5</w:t>
      </w:r>
      <w:r w:rsidR="00FB7224">
        <w:rPr>
          <w:rFonts w:ascii="Arial" w:hAnsi="Arial" w:cs="Arial"/>
          <w:color w:val="000000" w:themeColor="text1"/>
          <w:sz w:val="24"/>
          <w:szCs w:val="24"/>
        </w:rPr>
        <w:t>0</w:t>
      </w:r>
      <w:r w:rsidR="00FF279D" w:rsidRPr="00FF279D">
        <w:rPr>
          <w:rFonts w:ascii="Arial" w:hAnsi="Arial" w:cs="Arial"/>
          <w:color w:val="000000" w:themeColor="text1"/>
          <w:sz w:val="24"/>
          <w:szCs w:val="24"/>
        </w:rPr>
        <w:t>:5</w:t>
      </w:r>
      <w:r w:rsidR="00FB7224">
        <w:rPr>
          <w:rFonts w:ascii="Arial" w:hAnsi="Arial" w:cs="Arial"/>
          <w:color w:val="000000" w:themeColor="text1"/>
          <w:sz w:val="24"/>
          <w:szCs w:val="24"/>
        </w:rPr>
        <w:t>0</w:t>
      </w:r>
      <w:r w:rsidR="00FF279D" w:rsidRPr="00FF279D">
        <w:rPr>
          <w:rFonts w:ascii="Arial" w:hAnsi="Arial" w:cs="Arial"/>
          <w:color w:val="000000" w:themeColor="text1"/>
          <w:sz w:val="24"/>
          <w:szCs w:val="24"/>
        </w:rPr>
        <w:t>, metanol 100% y agua. Se colectaron 208 fracciones de 25mL cada una y éstas fueron monitoreadas por cr</w:t>
      </w:r>
      <w:r w:rsidR="00022AC8">
        <w:rPr>
          <w:rFonts w:ascii="Arial" w:hAnsi="Arial" w:cs="Arial"/>
          <w:color w:val="000000" w:themeColor="text1"/>
          <w:sz w:val="24"/>
          <w:szCs w:val="24"/>
        </w:rPr>
        <w:t>omatografía en capa fina</w:t>
      </w:r>
      <w:r>
        <w:rPr>
          <w:rFonts w:ascii="Arial" w:hAnsi="Arial" w:cs="Arial"/>
          <w:color w:val="000000" w:themeColor="text1"/>
          <w:sz w:val="24"/>
          <w:szCs w:val="24"/>
        </w:rPr>
        <w:t xml:space="preserve"> como se muestra en la figura 4</w:t>
      </w:r>
      <w:r w:rsidR="00FF279D" w:rsidRPr="00FF279D">
        <w:rPr>
          <w:rFonts w:ascii="Arial" w:hAnsi="Arial" w:cs="Arial"/>
          <w:color w:val="000000" w:themeColor="text1"/>
          <w:sz w:val="24"/>
          <w:szCs w:val="24"/>
        </w:rPr>
        <w:t xml:space="preserve">. Las fracciones que mostraron similitud cromatográfica en sus componentes, fueron mezcladas en 23 reuniones en total y se obtuvo su rendimiento (Tabla 1). </w:t>
      </w:r>
    </w:p>
    <w:p w14:paraId="146C45AD" w14:textId="68FB39CD" w:rsidR="007D3C1E" w:rsidRDefault="007D3C1E" w:rsidP="007D3C1E">
      <w:pPr>
        <w:rPr>
          <w:rFonts w:ascii="Arial" w:hAnsi="Arial" w:cs="Arial"/>
          <w:b/>
          <w:sz w:val="24"/>
          <w:szCs w:val="24"/>
        </w:rPr>
      </w:pPr>
      <w:r>
        <w:rPr>
          <w:rFonts w:ascii="Arial" w:hAnsi="Arial" w:cs="Arial"/>
          <w:noProof/>
          <w:color w:val="000000" w:themeColor="text1"/>
          <w:sz w:val="24"/>
          <w:szCs w:val="24"/>
        </w:rPr>
        <w:lastRenderedPageBreak/>
        <w:drawing>
          <wp:anchor distT="0" distB="0" distL="114300" distR="114300" simplePos="0" relativeHeight="251667968" behindDoc="0" locked="0" layoutInCell="1" allowOverlap="1" wp14:anchorId="7418DFEA" wp14:editId="6769FAA8">
            <wp:simplePos x="0" y="0"/>
            <wp:positionH relativeFrom="column">
              <wp:posOffset>1640205</wp:posOffset>
            </wp:positionH>
            <wp:positionV relativeFrom="paragraph">
              <wp:posOffset>-212725</wp:posOffset>
            </wp:positionV>
            <wp:extent cx="2450465" cy="3558540"/>
            <wp:effectExtent l="0" t="0" r="0" b="0"/>
            <wp:wrapSquare wrapText="bothSides"/>
            <wp:docPr id="4" name="3 Imagen" descr="Cromatoplaca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atoplaca Congreso.jpg"/>
                    <pic:cNvPicPr/>
                  </pic:nvPicPr>
                  <pic:blipFill>
                    <a:blip r:embed="rId13" cstate="print"/>
                    <a:srcRect l="22488" t="12281" r="24402" b="10526"/>
                    <a:stretch>
                      <a:fillRect/>
                    </a:stretch>
                  </pic:blipFill>
                  <pic:spPr>
                    <a:xfrm>
                      <a:off x="0" y="0"/>
                      <a:ext cx="2450465" cy="3558540"/>
                    </a:xfrm>
                    <a:prstGeom prst="rect">
                      <a:avLst/>
                    </a:prstGeom>
                  </pic:spPr>
                </pic:pic>
              </a:graphicData>
            </a:graphic>
            <wp14:sizeRelH relativeFrom="margin">
              <wp14:pctWidth>0</wp14:pctWidth>
            </wp14:sizeRelH>
            <wp14:sizeRelV relativeFrom="margin">
              <wp14:pctHeight>0</wp14:pctHeight>
            </wp14:sizeRelV>
          </wp:anchor>
        </w:drawing>
      </w:r>
    </w:p>
    <w:p w14:paraId="18B9AC61" w14:textId="7F227BFB" w:rsidR="007D3C1E" w:rsidRDefault="007D3C1E" w:rsidP="007D3C1E">
      <w:pPr>
        <w:rPr>
          <w:rFonts w:ascii="Arial" w:hAnsi="Arial" w:cs="Arial"/>
          <w:b/>
          <w:sz w:val="24"/>
          <w:szCs w:val="24"/>
        </w:rPr>
      </w:pPr>
    </w:p>
    <w:p w14:paraId="2616D75D" w14:textId="77777777" w:rsidR="007D3C1E" w:rsidRDefault="007D3C1E" w:rsidP="007D3C1E">
      <w:pPr>
        <w:rPr>
          <w:rFonts w:ascii="Arial" w:hAnsi="Arial" w:cs="Arial"/>
          <w:b/>
          <w:sz w:val="24"/>
          <w:szCs w:val="24"/>
        </w:rPr>
      </w:pPr>
    </w:p>
    <w:p w14:paraId="11EBDA29" w14:textId="77777777" w:rsidR="007D3C1E" w:rsidRDefault="007D3C1E" w:rsidP="007D3C1E">
      <w:pPr>
        <w:rPr>
          <w:rFonts w:ascii="Arial" w:hAnsi="Arial" w:cs="Arial"/>
          <w:b/>
          <w:sz w:val="24"/>
          <w:szCs w:val="24"/>
        </w:rPr>
      </w:pPr>
    </w:p>
    <w:p w14:paraId="201D213A" w14:textId="77777777" w:rsidR="007D3C1E" w:rsidRDefault="007D3C1E" w:rsidP="007D3C1E">
      <w:pPr>
        <w:rPr>
          <w:rFonts w:ascii="Arial" w:hAnsi="Arial" w:cs="Arial"/>
          <w:b/>
          <w:sz w:val="24"/>
          <w:szCs w:val="24"/>
        </w:rPr>
      </w:pPr>
    </w:p>
    <w:p w14:paraId="189068BE" w14:textId="77777777" w:rsidR="007D3C1E" w:rsidRDefault="007D3C1E" w:rsidP="007D3C1E">
      <w:pPr>
        <w:rPr>
          <w:rFonts w:ascii="Arial" w:hAnsi="Arial" w:cs="Arial"/>
          <w:b/>
          <w:sz w:val="24"/>
          <w:szCs w:val="24"/>
        </w:rPr>
      </w:pPr>
    </w:p>
    <w:p w14:paraId="770EFD1D" w14:textId="77777777" w:rsidR="007D3C1E" w:rsidRDefault="007D3C1E" w:rsidP="007D3C1E">
      <w:pPr>
        <w:rPr>
          <w:rFonts w:ascii="Arial" w:hAnsi="Arial" w:cs="Arial"/>
          <w:b/>
          <w:sz w:val="24"/>
          <w:szCs w:val="24"/>
        </w:rPr>
      </w:pPr>
    </w:p>
    <w:p w14:paraId="1511354D" w14:textId="77777777" w:rsidR="007D3C1E" w:rsidRDefault="007D3C1E" w:rsidP="007D3C1E">
      <w:pPr>
        <w:rPr>
          <w:rFonts w:ascii="Arial" w:hAnsi="Arial" w:cs="Arial"/>
          <w:b/>
          <w:sz w:val="24"/>
          <w:szCs w:val="24"/>
        </w:rPr>
      </w:pPr>
    </w:p>
    <w:p w14:paraId="503696E0" w14:textId="77777777" w:rsidR="007D3C1E" w:rsidRDefault="007D3C1E" w:rsidP="007D3C1E">
      <w:pPr>
        <w:rPr>
          <w:rFonts w:ascii="Arial" w:hAnsi="Arial" w:cs="Arial"/>
          <w:b/>
          <w:sz w:val="24"/>
          <w:szCs w:val="24"/>
        </w:rPr>
      </w:pPr>
    </w:p>
    <w:p w14:paraId="67C1EB86" w14:textId="77777777" w:rsidR="007D3C1E" w:rsidRDefault="007D3C1E" w:rsidP="007D3C1E">
      <w:pPr>
        <w:rPr>
          <w:rFonts w:ascii="Arial" w:hAnsi="Arial" w:cs="Arial"/>
          <w:b/>
          <w:sz w:val="24"/>
          <w:szCs w:val="24"/>
        </w:rPr>
      </w:pPr>
    </w:p>
    <w:p w14:paraId="1575747C" w14:textId="77777777" w:rsidR="007D3C1E" w:rsidRDefault="007D3C1E" w:rsidP="007D3C1E">
      <w:pPr>
        <w:rPr>
          <w:rFonts w:ascii="Arial" w:hAnsi="Arial" w:cs="Arial"/>
          <w:b/>
          <w:sz w:val="24"/>
          <w:szCs w:val="24"/>
        </w:rPr>
      </w:pPr>
    </w:p>
    <w:p w14:paraId="7EE48D92" w14:textId="5B3F3A91" w:rsidR="007D3C1E" w:rsidRPr="007D3C1E" w:rsidRDefault="007D3C1E" w:rsidP="007D3C1E">
      <w:pPr>
        <w:jc w:val="both"/>
        <w:rPr>
          <w:rFonts w:ascii="Arial" w:hAnsi="Arial" w:cs="Arial"/>
          <w:sz w:val="24"/>
          <w:szCs w:val="24"/>
        </w:rPr>
      </w:pPr>
      <w:r w:rsidRPr="00FB7224">
        <w:rPr>
          <w:rFonts w:ascii="Arial" w:hAnsi="Arial" w:cs="Arial"/>
          <w:b/>
          <w:sz w:val="24"/>
          <w:szCs w:val="24"/>
        </w:rPr>
        <w:t xml:space="preserve">Fig. </w:t>
      </w:r>
      <w:r>
        <w:rPr>
          <w:rFonts w:ascii="Arial" w:hAnsi="Arial" w:cs="Arial"/>
          <w:b/>
          <w:sz w:val="24"/>
          <w:szCs w:val="24"/>
        </w:rPr>
        <w:t>4</w:t>
      </w:r>
      <w:r w:rsidRPr="00FB7224">
        <w:rPr>
          <w:rFonts w:ascii="Arial" w:hAnsi="Arial" w:cs="Arial"/>
          <w:b/>
          <w:sz w:val="24"/>
          <w:szCs w:val="24"/>
        </w:rPr>
        <w:t>:</w:t>
      </w:r>
      <w:r>
        <w:rPr>
          <w:rFonts w:ascii="Arial" w:hAnsi="Arial" w:cs="Arial"/>
          <w:sz w:val="24"/>
          <w:szCs w:val="24"/>
        </w:rPr>
        <w:t xml:space="preserve"> </w:t>
      </w:r>
      <w:r w:rsidRPr="00FB7224">
        <w:rPr>
          <w:rFonts w:ascii="Arial" w:hAnsi="Arial" w:cs="Arial"/>
          <w:color w:val="000000" w:themeColor="text1"/>
          <w:sz w:val="24"/>
          <w:szCs w:val="24"/>
        </w:rPr>
        <w:t>Cromatografía en capa fina de las reuniones hechas a partir de las fracciones que mostraron similitud cromatográfica. En la imagen se muestran las reuniones (Rn) 4,</w:t>
      </w:r>
      <w:r>
        <w:rPr>
          <w:rFonts w:ascii="Arial" w:hAnsi="Arial" w:cs="Arial"/>
          <w:color w:val="000000" w:themeColor="text1"/>
          <w:sz w:val="24"/>
          <w:szCs w:val="24"/>
        </w:rPr>
        <w:t xml:space="preserve"> </w:t>
      </w:r>
      <w:r w:rsidRPr="00FB7224">
        <w:rPr>
          <w:rFonts w:ascii="Arial" w:hAnsi="Arial" w:cs="Arial"/>
          <w:color w:val="000000" w:themeColor="text1"/>
          <w:sz w:val="24"/>
          <w:szCs w:val="24"/>
        </w:rPr>
        <w:t>5,</w:t>
      </w:r>
      <w:r>
        <w:rPr>
          <w:rFonts w:ascii="Arial" w:hAnsi="Arial" w:cs="Arial"/>
          <w:color w:val="000000" w:themeColor="text1"/>
          <w:sz w:val="24"/>
          <w:szCs w:val="24"/>
        </w:rPr>
        <w:t xml:space="preserve"> </w:t>
      </w:r>
      <w:r w:rsidRPr="00FB7224">
        <w:rPr>
          <w:rFonts w:ascii="Arial" w:hAnsi="Arial" w:cs="Arial"/>
          <w:color w:val="000000" w:themeColor="text1"/>
          <w:sz w:val="24"/>
          <w:szCs w:val="24"/>
        </w:rPr>
        <w:t>6,</w:t>
      </w:r>
      <w:r>
        <w:rPr>
          <w:rFonts w:ascii="Arial" w:hAnsi="Arial" w:cs="Arial"/>
          <w:color w:val="000000" w:themeColor="text1"/>
          <w:sz w:val="24"/>
          <w:szCs w:val="24"/>
        </w:rPr>
        <w:t xml:space="preserve"> </w:t>
      </w:r>
      <w:r w:rsidRPr="00FB7224">
        <w:rPr>
          <w:rFonts w:ascii="Arial" w:hAnsi="Arial" w:cs="Arial"/>
          <w:color w:val="000000" w:themeColor="text1"/>
          <w:sz w:val="24"/>
          <w:szCs w:val="24"/>
        </w:rPr>
        <w:t xml:space="preserve">7 y 8. Como fase móvil se utilizó </w:t>
      </w:r>
      <w:proofErr w:type="spellStart"/>
      <w:r w:rsidRPr="00FB7224">
        <w:rPr>
          <w:rFonts w:ascii="Arial" w:hAnsi="Arial" w:cs="Arial"/>
          <w:color w:val="000000" w:themeColor="text1"/>
          <w:sz w:val="24"/>
          <w:szCs w:val="24"/>
        </w:rPr>
        <w:t>diclorometano</w:t>
      </w:r>
      <w:proofErr w:type="spellEnd"/>
      <w:r w:rsidRPr="00FB7224">
        <w:rPr>
          <w:rFonts w:ascii="Arial" w:hAnsi="Arial" w:cs="Arial"/>
          <w:color w:val="000000" w:themeColor="text1"/>
          <w:sz w:val="24"/>
          <w:szCs w:val="24"/>
        </w:rPr>
        <w:t>-acetato de etilo en proporción 8:2 y como revelador ácido sulfúrico al 10% a 100 °C</w:t>
      </w:r>
      <w:r>
        <w:rPr>
          <w:rFonts w:ascii="Times New Roman" w:eastAsia="Times New Roman" w:hAnsi="Times New Roman" w:cs="Times New Roman"/>
          <w:sz w:val="20"/>
          <w:szCs w:val="20"/>
        </w:rPr>
        <w:t>.</w:t>
      </w:r>
    </w:p>
    <w:p w14:paraId="5E33A8EE" w14:textId="77777777" w:rsidR="007D3C1E" w:rsidRDefault="007D3C1E" w:rsidP="005F0138">
      <w:pPr>
        <w:rPr>
          <w:rFonts w:ascii="Arial" w:hAnsi="Arial" w:cs="Arial"/>
          <w:sz w:val="24"/>
          <w:szCs w:val="24"/>
        </w:rPr>
      </w:pPr>
    </w:p>
    <w:p w14:paraId="39A04713" w14:textId="77777777" w:rsidR="00886035" w:rsidRDefault="00886035" w:rsidP="005F0138">
      <w:pPr>
        <w:rPr>
          <w:rFonts w:ascii="Arial" w:hAnsi="Arial" w:cs="Arial"/>
          <w:sz w:val="24"/>
          <w:szCs w:val="24"/>
        </w:rPr>
      </w:pPr>
      <w:r>
        <w:rPr>
          <w:rFonts w:ascii="Arial" w:hAnsi="Arial" w:cs="Arial"/>
          <w:sz w:val="24"/>
          <w:szCs w:val="24"/>
        </w:rPr>
        <w:t>4. Conclusiones</w:t>
      </w:r>
    </w:p>
    <w:p w14:paraId="51F8C345" w14:textId="30CE0222" w:rsidR="00886035" w:rsidRPr="005721B7" w:rsidRDefault="00886035" w:rsidP="005721B7">
      <w:pPr>
        <w:numPr>
          <w:ilvl w:val="0"/>
          <w:numId w:val="2"/>
        </w:numPr>
        <w:spacing w:after="0"/>
        <w:ind w:hanging="360"/>
        <w:contextualSpacing/>
        <w:jc w:val="both"/>
        <w:rPr>
          <w:rFonts w:ascii="Arial" w:hAnsi="Arial" w:cs="Arial"/>
          <w:sz w:val="24"/>
          <w:szCs w:val="24"/>
        </w:rPr>
      </w:pPr>
      <w:r w:rsidRPr="00886035">
        <w:rPr>
          <w:rFonts w:ascii="Arial" w:hAnsi="Arial" w:cs="Arial"/>
          <w:sz w:val="24"/>
          <w:szCs w:val="24"/>
        </w:rPr>
        <w:t>De acuerdo al ensayo de toxicidad oral aguda realizado</w:t>
      </w:r>
      <w:r w:rsidR="004878FE">
        <w:rPr>
          <w:rFonts w:ascii="Arial" w:hAnsi="Arial" w:cs="Arial"/>
          <w:sz w:val="24"/>
          <w:szCs w:val="24"/>
        </w:rPr>
        <w:t xml:space="preserve"> al extracto </w:t>
      </w:r>
      <w:proofErr w:type="spellStart"/>
      <w:r w:rsidR="004878FE">
        <w:rPr>
          <w:rFonts w:ascii="Arial" w:hAnsi="Arial" w:cs="Arial"/>
          <w:sz w:val="24"/>
          <w:szCs w:val="24"/>
        </w:rPr>
        <w:t>hidroalcohólico</w:t>
      </w:r>
      <w:proofErr w:type="spellEnd"/>
      <w:r w:rsidR="004878FE">
        <w:rPr>
          <w:rFonts w:ascii="Arial" w:hAnsi="Arial" w:cs="Arial"/>
          <w:sz w:val="24"/>
          <w:szCs w:val="24"/>
        </w:rPr>
        <w:t xml:space="preserve"> de</w:t>
      </w:r>
      <w:r w:rsidRPr="00886035">
        <w:rPr>
          <w:rFonts w:ascii="Arial" w:hAnsi="Arial" w:cs="Arial"/>
          <w:sz w:val="24"/>
          <w:szCs w:val="24"/>
        </w:rPr>
        <w:t xml:space="preserve"> semillas de </w:t>
      </w:r>
      <w:proofErr w:type="spellStart"/>
      <w:r w:rsidRPr="004878FE">
        <w:rPr>
          <w:rFonts w:ascii="Arial" w:hAnsi="Arial" w:cs="Arial"/>
          <w:i/>
          <w:sz w:val="24"/>
          <w:szCs w:val="24"/>
        </w:rPr>
        <w:t>Aleurites</w:t>
      </w:r>
      <w:proofErr w:type="spellEnd"/>
      <w:r w:rsidR="005B0077" w:rsidRPr="004878FE">
        <w:rPr>
          <w:rFonts w:ascii="Arial" w:hAnsi="Arial" w:cs="Arial"/>
          <w:i/>
          <w:sz w:val="24"/>
          <w:szCs w:val="24"/>
        </w:rPr>
        <w:t xml:space="preserve"> </w:t>
      </w:r>
      <w:proofErr w:type="spellStart"/>
      <w:r w:rsidRPr="004878FE">
        <w:rPr>
          <w:rFonts w:ascii="Arial" w:hAnsi="Arial" w:cs="Arial"/>
          <w:i/>
          <w:sz w:val="24"/>
          <w:szCs w:val="24"/>
        </w:rPr>
        <w:t>moluccana</w:t>
      </w:r>
      <w:proofErr w:type="spellEnd"/>
      <w:r w:rsidRPr="00886035">
        <w:rPr>
          <w:rFonts w:ascii="Arial" w:hAnsi="Arial" w:cs="Arial"/>
          <w:sz w:val="24"/>
          <w:szCs w:val="24"/>
        </w:rPr>
        <w:t xml:space="preserve">, </w:t>
      </w:r>
      <w:r w:rsidR="004878FE">
        <w:rPr>
          <w:rFonts w:ascii="Arial" w:hAnsi="Arial" w:cs="Arial"/>
          <w:sz w:val="24"/>
          <w:szCs w:val="24"/>
        </w:rPr>
        <w:t xml:space="preserve">este </w:t>
      </w:r>
      <w:r w:rsidRPr="00886035">
        <w:rPr>
          <w:rFonts w:ascii="Arial" w:hAnsi="Arial" w:cs="Arial"/>
          <w:sz w:val="24"/>
          <w:szCs w:val="24"/>
        </w:rPr>
        <w:t xml:space="preserve">se clasifica en la categoría 4 </w:t>
      </w:r>
      <w:r w:rsidR="004878FE">
        <w:rPr>
          <w:rFonts w:ascii="Arial" w:hAnsi="Arial" w:cs="Arial"/>
          <w:sz w:val="24"/>
          <w:szCs w:val="24"/>
        </w:rPr>
        <w:t>acorde al sistema GHS.</w:t>
      </w:r>
      <w:r w:rsidRPr="00886035">
        <w:rPr>
          <w:rFonts w:ascii="Arial" w:hAnsi="Arial" w:cs="Arial"/>
          <w:sz w:val="24"/>
          <w:szCs w:val="24"/>
        </w:rPr>
        <w:t xml:space="preserve"> Dada la toxicidad oral que presenta la semilla, no </w:t>
      </w:r>
      <w:r w:rsidR="004878FE">
        <w:rPr>
          <w:rFonts w:ascii="Arial" w:hAnsi="Arial" w:cs="Arial"/>
          <w:sz w:val="24"/>
          <w:szCs w:val="24"/>
        </w:rPr>
        <w:t xml:space="preserve">es apto para </w:t>
      </w:r>
      <w:r w:rsidRPr="00886035">
        <w:rPr>
          <w:rFonts w:ascii="Arial" w:hAnsi="Arial" w:cs="Arial"/>
          <w:sz w:val="24"/>
          <w:szCs w:val="24"/>
        </w:rPr>
        <w:t>comercializarse como medicamento</w:t>
      </w:r>
      <w:r w:rsidR="004878FE">
        <w:rPr>
          <w:rFonts w:ascii="Arial" w:hAnsi="Arial" w:cs="Arial"/>
          <w:sz w:val="24"/>
          <w:szCs w:val="24"/>
        </w:rPr>
        <w:t xml:space="preserve"> herbolario</w:t>
      </w:r>
      <w:r w:rsidRPr="00886035">
        <w:rPr>
          <w:rFonts w:ascii="Arial" w:hAnsi="Arial" w:cs="Arial"/>
          <w:sz w:val="24"/>
          <w:szCs w:val="24"/>
        </w:rPr>
        <w:t xml:space="preserve"> ni como remedio herbolario debido a que la seguridad de este tipo de modalidad terapéutica es indispensable según el artículo 224° de la Ley General de Salud (LGS) así como el Reglamento de Insumos para la Salud (RIS).</w:t>
      </w:r>
      <w:r w:rsidR="005721B7">
        <w:rPr>
          <w:rFonts w:ascii="Arial" w:hAnsi="Arial" w:cs="Arial"/>
          <w:sz w:val="24"/>
          <w:szCs w:val="24"/>
        </w:rPr>
        <w:t xml:space="preserve"> </w:t>
      </w:r>
      <w:r w:rsidRPr="005721B7">
        <w:rPr>
          <w:rFonts w:ascii="Arial" w:hAnsi="Arial" w:cs="Arial"/>
          <w:sz w:val="24"/>
          <w:szCs w:val="24"/>
        </w:rPr>
        <w:t xml:space="preserve">Es necesario </w:t>
      </w:r>
      <w:r w:rsidR="00730378" w:rsidRPr="005721B7">
        <w:rPr>
          <w:rFonts w:ascii="Arial" w:hAnsi="Arial" w:cs="Arial"/>
          <w:sz w:val="24"/>
          <w:szCs w:val="24"/>
        </w:rPr>
        <w:t xml:space="preserve">realizar un estudio de toxicidad </w:t>
      </w:r>
      <w:proofErr w:type="spellStart"/>
      <w:r w:rsidR="00730378" w:rsidRPr="005721B7">
        <w:rPr>
          <w:rFonts w:ascii="Arial" w:hAnsi="Arial" w:cs="Arial"/>
          <w:sz w:val="24"/>
          <w:szCs w:val="24"/>
        </w:rPr>
        <w:t>subcrónico</w:t>
      </w:r>
      <w:proofErr w:type="spellEnd"/>
      <w:r w:rsidR="00730378" w:rsidRPr="005721B7">
        <w:rPr>
          <w:rFonts w:ascii="Arial" w:hAnsi="Arial" w:cs="Arial"/>
          <w:sz w:val="24"/>
          <w:szCs w:val="24"/>
        </w:rPr>
        <w:t xml:space="preserve"> </w:t>
      </w:r>
      <w:r w:rsidRPr="005721B7">
        <w:rPr>
          <w:rFonts w:ascii="Arial" w:hAnsi="Arial" w:cs="Arial"/>
          <w:sz w:val="24"/>
          <w:szCs w:val="24"/>
        </w:rPr>
        <w:t>que nos permita conocer los órganos blancos que son</w:t>
      </w:r>
      <w:r w:rsidR="00127A5D" w:rsidRPr="005721B7">
        <w:rPr>
          <w:rFonts w:ascii="Arial" w:hAnsi="Arial" w:cs="Arial"/>
          <w:sz w:val="24"/>
          <w:szCs w:val="24"/>
        </w:rPr>
        <w:t xml:space="preserve"> afectados </w:t>
      </w:r>
      <w:r w:rsidR="0075178A" w:rsidRPr="005721B7">
        <w:rPr>
          <w:rFonts w:ascii="Arial" w:hAnsi="Arial" w:cs="Arial"/>
          <w:sz w:val="24"/>
          <w:szCs w:val="24"/>
        </w:rPr>
        <w:t xml:space="preserve">para poder tener evidencia científica que sustente </w:t>
      </w:r>
      <w:r w:rsidR="005721B7" w:rsidRPr="005721B7">
        <w:rPr>
          <w:rFonts w:ascii="Arial" w:hAnsi="Arial" w:cs="Arial"/>
          <w:sz w:val="24"/>
          <w:szCs w:val="24"/>
        </w:rPr>
        <w:t>que es nocivo para la salud</w:t>
      </w:r>
      <w:r w:rsidRPr="005721B7">
        <w:rPr>
          <w:rFonts w:ascii="Arial" w:hAnsi="Arial" w:cs="Arial"/>
          <w:sz w:val="24"/>
          <w:szCs w:val="24"/>
        </w:rPr>
        <w:t>.</w:t>
      </w:r>
    </w:p>
    <w:p w14:paraId="6700EA0F" w14:textId="4E082790" w:rsidR="00886035" w:rsidRPr="00CB343A" w:rsidRDefault="005721B7" w:rsidP="00722DFD">
      <w:pPr>
        <w:numPr>
          <w:ilvl w:val="0"/>
          <w:numId w:val="2"/>
        </w:numPr>
        <w:ind w:hanging="360"/>
        <w:contextualSpacing/>
        <w:jc w:val="both"/>
        <w:rPr>
          <w:rFonts w:ascii="Arial" w:hAnsi="Arial" w:cs="Arial"/>
          <w:sz w:val="24"/>
          <w:szCs w:val="24"/>
        </w:rPr>
      </w:pPr>
      <w:r>
        <w:rPr>
          <w:rFonts w:ascii="Arial" w:hAnsi="Arial" w:cs="Arial"/>
          <w:sz w:val="24"/>
          <w:szCs w:val="24"/>
        </w:rPr>
        <w:t xml:space="preserve">Como resultado del estudio </w:t>
      </w:r>
      <w:proofErr w:type="spellStart"/>
      <w:r w:rsidR="00886035" w:rsidRPr="00CB343A">
        <w:rPr>
          <w:rFonts w:ascii="Arial" w:hAnsi="Arial" w:cs="Arial"/>
          <w:sz w:val="24"/>
          <w:szCs w:val="24"/>
        </w:rPr>
        <w:t>fitoquímico</w:t>
      </w:r>
      <w:proofErr w:type="spellEnd"/>
      <w:r w:rsidR="00886035" w:rsidRPr="00CB343A">
        <w:rPr>
          <w:rFonts w:ascii="Arial" w:hAnsi="Arial" w:cs="Arial"/>
          <w:sz w:val="24"/>
          <w:szCs w:val="24"/>
        </w:rPr>
        <w:t xml:space="preserve"> hasta ahora</w:t>
      </w:r>
      <w:r w:rsidR="00966C59">
        <w:rPr>
          <w:rFonts w:ascii="Arial" w:hAnsi="Arial" w:cs="Arial"/>
          <w:sz w:val="24"/>
          <w:szCs w:val="24"/>
        </w:rPr>
        <w:t xml:space="preserve"> se</w:t>
      </w:r>
      <w:bookmarkStart w:id="0" w:name="_GoBack"/>
      <w:bookmarkEnd w:id="0"/>
      <w:r w:rsidR="00886035" w:rsidRPr="00CB343A">
        <w:rPr>
          <w:rFonts w:ascii="Arial" w:hAnsi="Arial" w:cs="Arial"/>
          <w:sz w:val="24"/>
          <w:szCs w:val="24"/>
        </w:rPr>
        <w:t xml:space="preserve"> ha </w:t>
      </w:r>
      <w:r>
        <w:rPr>
          <w:rFonts w:ascii="Arial" w:hAnsi="Arial" w:cs="Arial"/>
          <w:sz w:val="24"/>
          <w:szCs w:val="24"/>
        </w:rPr>
        <w:t>determinado</w:t>
      </w:r>
      <w:r w:rsidR="00886035" w:rsidRPr="00CB343A">
        <w:rPr>
          <w:rFonts w:ascii="Arial" w:hAnsi="Arial" w:cs="Arial"/>
          <w:sz w:val="24"/>
          <w:szCs w:val="24"/>
        </w:rPr>
        <w:t xml:space="preserve"> l</w:t>
      </w:r>
      <w:r w:rsidR="00CB343A">
        <w:rPr>
          <w:rFonts w:ascii="Arial" w:hAnsi="Arial" w:cs="Arial"/>
          <w:sz w:val="24"/>
          <w:szCs w:val="24"/>
        </w:rPr>
        <w:t xml:space="preserve">a posible presencia </w:t>
      </w:r>
      <w:r>
        <w:rPr>
          <w:rFonts w:ascii="Arial" w:hAnsi="Arial" w:cs="Arial"/>
          <w:sz w:val="24"/>
          <w:szCs w:val="24"/>
        </w:rPr>
        <w:t>de compuestos tipo terpeno</w:t>
      </w:r>
      <w:r w:rsidR="00CB343A">
        <w:rPr>
          <w:rFonts w:ascii="Arial" w:hAnsi="Arial" w:cs="Arial"/>
          <w:sz w:val="24"/>
          <w:szCs w:val="24"/>
        </w:rPr>
        <w:t>.</w:t>
      </w:r>
    </w:p>
    <w:p w14:paraId="292040AE" w14:textId="77777777" w:rsidR="00C848E5" w:rsidRDefault="00C848E5" w:rsidP="00886035">
      <w:pPr>
        <w:contextualSpacing/>
        <w:jc w:val="both"/>
        <w:rPr>
          <w:rFonts w:ascii="Arial" w:hAnsi="Arial" w:cs="Arial"/>
          <w:sz w:val="24"/>
          <w:szCs w:val="24"/>
        </w:rPr>
      </w:pPr>
    </w:p>
    <w:p w14:paraId="555E1705" w14:textId="77777777" w:rsidR="00C848E5" w:rsidRDefault="00C848E5" w:rsidP="00886035">
      <w:pPr>
        <w:contextualSpacing/>
        <w:jc w:val="both"/>
        <w:rPr>
          <w:rFonts w:ascii="Arial" w:hAnsi="Arial" w:cs="Arial"/>
          <w:sz w:val="24"/>
          <w:szCs w:val="24"/>
        </w:rPr>
      </w:pPr>
    </w:p>
    <w:p w14:paraId="15A6036B" w14:textId="77777777" w:rsidR="00C848E5" w:rsidRDefault="00C848E5" w:rsidP="00886035">
      <w:pPr>
        <w:contextualSpacing/>
        <w:jc w:val="both"/>
        <w:rPr>
          <w:rFonts w:ascii="Arial" w:hAnsi="Arial" w:cs="Arial"/>
          <w:sz w:val="24"/>
          <w:szCs w:val="24"/>
        </w:rPr>
      </w:pPr>
    </w:p>
    <w:p w14:paraId="1CDDE93A" w14:textId="77777777" w:rsidR="00C848E5" w:rsidRDefault="00C848E5" w:rsidP="00886035">
      <w:pPr>
        <w:contextualSpacing/>
        <w:jc w:val="both"/>
        <w:rPr>
          <w:rFonts w:ascii="Arial" w:hAnsi="Arial" w:cs="Arial"/>
          <w:sz w:val="24"/>
          <w:szCs w:val="24"/>
        </w:rPr>
      </w:pPr>
    </w:p>
    <w:p w14:paraId="0849293F" w14:textId="77777777" w:rsidR="00C848E5" w:rsidRDefault="00C848E5" w:rsidP="00886035">
      <w:pPr>
        <w:contextualSpacing/>
        <w:jc w:val="both"/>
        <w:rPr>
          <w:rFonts w:ascii="Arial" w:hAnsi="Arial" w:cs="Arial"/>
          <w:sz w:val="24"/>
          <w:szCs w:val="24"/>
        </w:rPr>
      </w:pPr>
    </w:p>
    <w:p w14:paraId="79BFFAD3" w14:textId="77777777" w:rsidR="00844EC5" w:rsidRDefault="00844EC5" w:rsidP="00886035">
      <w:pPr>
        <w:contextualSpacing/>
        <w:jc w:val="both"/>
        <w:rPr>
          <w:rFonts w:ascii="Arial" w:hAnsi="Arial" w:cs="Arial"/>
          <w:sz w:val="24"/>
          <w:szCs w:val="24"/>
        </w:rPr>
      </w:pPr>
      <w:r>
        <w:rPr>
          <w:rFonts w:ascii="Arial" w:hAnsi="Arial" w:cs="Arial"/>
          <w:sz w:val="24"/>
          <w:szCs w:val="24"/>
        </w:rPr>
        <w:t>5. Referencias</w:t>
      </w:r>
    </w:p>
    <w:sdt>
      <w:sdtPr>
        <w:rPr>
          <w:rFonts w:ascii="Calibri" w:eastAsia="Calibri" w:hAnsi="Calibri" w:cs="Calibri"/>
          <w:b w:val="0"/>
          <w:bCs w:val="0"/>
          <w:color w:val="000000"/>
          <w:sz w:val="22"/>
          <w:szCs w:val="22"/>
          <w:lang w:val="es-ES_tradnl" w:eastAsia="es-ES_tradnl"/>
        </w:rPr>
        <w:id w:val="92094555"/>
        <w:docPartObj>
          <w:docPartGallery w:val="Bibliographies"/>
          <w:docPartUnique/>
        </w:docPartObj>
      </w:sdtPr>
      <w:sdtEndPr/>
      <w:sdtContent>
        <w:p w14:paraId="55065F8C" w14:textId="77777777" w:rsidR="00844EC5" w:rsidRDefault="00844EC5">
          <w:pPr>
            <w:pStyle w:val="Ttulo1"/>
          </w:pPr>
        </w:p>
        <w:sdt>
          <w:sdtPr>
            <w:rPr>
              <w:lang w:val="es-ES"/>
            </w:rPr>
            <w:id w:val="111145805"/>
            <w:bibliography/>
          </w:sdtPr>
          <w:sdtEndPr/>
          <w:sdtContent>
            <w:p w14:paraId="708C511A" w14:textId="77777777" w:rsidR="00844EC5" w:rsidRDefault="00342E21" w:rsidP="00844EC5">
              <w:pPr>
                <w:pStyle w:val="Bibliografa"/>
                <w:rPr>
                  <w:noProof/>
                </w:rPr>
              </w:pPr>
              <w:r w:rsidRPr="00844EC5">
                <w:rPr>
                  <w:sz w:val="20"/>
                  <w:szCs w:val="20"/>
                  <w:lang w:val="es-ES"/>
                </w:rPr>
                <w:fldChar w:fldCharType="begin"/>
              </w:r>
              <w:r w:rsidR="00844EC5" w:rsidRPr="00844EC5">
                <w:rPr>
                  <w:sz w:val="20"/>
                  <w:szCs w:val="20"/>
                  <w:lang w:val="es-ES"/>
                </w:rPr>
                <w:instrText xml:space="preserve"> BIBLIOGRAPHY </w:instrText>
              </w:r>
              <w:r w:rsidRPr="00844EC5">
                <w:rPr>
                  <w:sz w:val="20"/>
                  <w:szCs w:val="20"/>
                  <w:lang w:val="es-ES"/>
                </w:rPr>
                <w:fldChar w:fldCharType="separate"/>
              </w:r>
              <w:r w:rsidR="00844EC5">
                <w:rPr>
                  <w:noProof/>
                </w:rPr>
                <w:t xml:space="preserve">Cataño, L. (20 de Junio de 2016). SSA deslinda en Cofepris la prohibición de Semilla de Brasil. </w:t>
              </w:r>
              <w:r w:rsidR="00844EC5">
                <w:rPr>
                  <w:i/>
                  <w:iCs/>
                  <w:noProof/>
                </w:rPr>
                <w:t>CAMBIO</w:t>
              </w:r>
              <w:r w:rsidR="00844EC5">
                <w:rPr>
                  <w:noProof/>
                </w:rPr>
                <w:t>.</w:t>
              </w:r>
            </w:p>
            <w:p w14:paraId="52104B14" w14:textId="77777777" w:rsidR="00844EC5" w:rsidRPr="00844EC5" w:rsidRDefault="00844EC5" w:rsidP="00844EC5">
              <w:pPr>
                <w:pStyle w:val="Bibliografa"/>
                <w:ind w:left="720" w:hanging="720"/>
                <w:rPr>
                  <w:noProof/>
                  <w:lang w:val="es-MX"/>
                </w:rPr>
              </w:pPr>
              <w:r>
                <w:rPr>
                  <w:noProof/>
                </w:rPr>
                <w:t>De la Fuente, R. (1998, febrero 3). REGLAMENTO de Insumos para la Salud. Ciudad de México, Distrito Federal, Mexico.</w:t>
              </w:r>
            </w:p>
            <w:p w14:paraId="561D2930" w14:textId="77777777" w:rsidR="00844EC5" w:rsidRPr="00844EC5" w:rsidRDefault="00844EC5" w:rsidP="00844EC5">
              <w:pPr>
                <w:pStyle w:val="Bibliografa"/>
                <w:ind w:left="720" w:hanging="720"/>
                <w:rPr>
                  <w:noProof/>
                  <w:lang w:val="en-US"/>
                </w:rPr>
              </w:pPr>
              <w:r>
                <w:rPr>
                  <w:noProof/>
                </w:rPr>
                <w:t xml:space="preserve">De Oliveira, A., Rocha, F., &amp; Abreu, S. d. (2014). </w:t>
              </w:r>
              <w:r w:rsidRPr="00844EC5">
                <w:rPr>
                  <w:noProof/>
                  <w:lang w:val="en-US"/>
                </w:rPr>
                <w:t xml:space="preserve">Acute liver failure and self-medication. </w:t>
              </w:r>
              <w:r w:rsidRPr="00844EC5">
                <w:rPr>
                  <w:i/>
                  <w:iCs/>
                  <w:noProof/>
                  <w:lang w:val="en-US"/>
                </w:rPr>
                <w:t>Arquivos Brasileiros de Cirurgia Digestiva : ABCD = Brazilian Archives of Digestive Surgery, 27</w:t>
              </w:r>
              <w:r w:rsidRPr="00844EC5">
                <w:rPr>
                  <w:noProof/>
                  <w:lang w:val="en-US"/>
                </w:rPr>
                <w:t>(4), 294–297.</w:t>
              </w:r>
            </w:p>
            <w:p w14:paraId="37C1F7FF" w14:textId="77777777" w:rsidR="00844EC5" w:rsidRDefault="00844EC5" w:rsidP="00844EC5">
              <w:pPr>
                <w:pStyle w:val="Bibliografa"/>
                <w:ind w:left="720" w:hanging="720"/>
                <w:rPr>
                  <w:noProof/>
                </w:rPr>
              </w:pPr>
              <w:r w:rsidRPr="00844EC5">
                <w:rPr>
                  <w:noProof/>
                  <w:lang w:val="en-US"/>
                </w:rPr>
                <w:t xml:space="preserve">Duke. (1985). </w:t>
              </w:r>
              <w:r w:rsidRPr="00844EC5">
                <w:rPr>
                  <w:i/>
                  <w:iCs/>
                  <w:noProof/>
                  <w:lang w:val="en-US"/>
                </w:rPr>
                <w:t>Handbook of Medicinal Herbs.</w:t>
              </w:r>
              <w:r w:rsidRPr="00844EC5">
                <w:rPr>
                  <w:noProof/>
                  <w:lang w:val="en-US"/>
                </w:rPr>
                <w:t xml:space="preserve"> </w:t>
              </w:r>
              <w:r>
                <w:rPr>
                  <w:noProof/>
                </w:rPr>
                <w:t>Boca Raton, Flo, USA: CRC Press; 1985.</w:t>
              </w:r>
            </w:p>
            <w:p w14:paraId="2753B825" w14:textId="77777777" w:rsidR="00844EC5" w:rsidRPr="00844EC5" w:rsidRDefault="00844EC5" w:rsidP="00844EC5">
              <w:pPr>
                <w:pStyle w:val="Bibliografa"/>
                <w:ind w:left="720" w:hanging="720"/>
                <w:rPr>
                  <w:noProof/>
                  <w:lang w:val="en-US"/>
                </w:rPr>
              </w:pPr>
              <w:r w:rsidRPr="00844EC5">
                <w:rPr>
                  <w:noProof/>
                  <w:lang w:val="en-US"/>
                </w:rPr>
                <w:t xml:space="preserve">G. Goel, H. M. (2007). Phorbol esters: structure, biological activity, and toxicity in animals. </w:t>
              </w:r>
              <w:r w:rsidRPr="00844EC5">
                <w:rPr>
                  <w:i/>
                  <w:iCs/>
                  <w:noProof/>
                  <w:lang w:val="en-US"/>
                </w:rPr>
                <w:t>International Journal of Toxicolgy</w:t>
              </w:r>
              <w:r w:rsidRPr="00844EC5">
                <w:rPr>
                  <w:noProof/>
                  <w:lang w:val="en-US"/>
                </w:rPr>
                <w:t>, 88.</w:t>
              </w:r>
            </w:p>
            <w:p w14:paraId="51CC3A5C" w14:textId="77777777" w:rsidR="00844EC5" w:rsidRDefault="00844EC5" w:rsidP="00844EC5">
              <w:pPr>
                <w:pStyle w:val="Bibliografa"/>
                <w:ind w:left="720" w:hanging="720"/>
                <w:rPr>
                  <w:noProof/>
                  <w:lang w:val="en-US"/>
                </w:rPr>
              </w:pPr>
              <w:r w:rsidRPr="00844EC5">
                <w:rPr>
                  <w:noProof/>
                  <w:lang w:val="en-US"/>
                </w:rPr>
                <w:t xml:space="preserve">Hasani-Ranjbar, S., Nayebi, N., Larijani, B., &amp; Abdollahi, M. (2009). A systematic review of the efficacy and safety of herbal medicines used in the treatment of obesity. </w:t>
              </w:r>
              <w:r w:rsidRPr="00844EC5">
                <w:rPr>
                  <w:i/>
                  <w:iCs/>
                  <w:noProof/>
                  <w:lang w:val="en-US"/>
                </w:rPr>
                <w:t>World Journal of Gastroenterology </w:t>
              </w:r>
              <w:r w:rsidRPr="00844EC5">
                <w:rPr>
                  <w:noProof/>
                  <w:lang w:val="en-US"/>
                </w:rPr>
                <w:t>, 3073–3085.</w:t>
              </w:r>
            </w:p>
            <w:p w14:paraId="22E7A9E0" w14:textId="77777777" w:rsidR="00844EC5" w:rsidRPr="00844EC5" w:rsidRDefault="00844EC5" w:rsidP="00844EC5">
              <w:pPr>
                <w:pStyle w:val="Bibliografa"/>
                <w:ind w:left="720" w:hanging="720"/>
                <w:rPr>
                  <w:noProof/>
                  <w:lang w:val="en-US"/>
                </w:rPr>
              </w:pPr>
              <w:r w:rsidRPr="00844EC5">
                <w:rPr>
                  <w:noProof/>
                  <w:lang w:val="en-US"/>
                </w:rPr>
                <w:t xml:space="preserve">Locher, C., Burch, M., Mower, H., Berestecky, J., Davis, H., Van Poel, B., . . . Vlietinck, A. (1995). Anti-microbial activity and anti-complement activity of extracts obtained from selected Hawaiian medicinal plants. </w:t>
              </w:r>
              <w:r w:rsidRPr="00844EC5">
                <w:rPr>
                  <w:i/>
                  <w:iCs/>
                  <w:noProof/>
                  <w:lang w:val="en-US"/>
                </w:rPr>
                <w:t>Journal of Ethnopharmacology, 49</w:t>
              </w:r>
              <w:r w:rsidRPr="00844EC5">
                <w:rPr>
                  <w:noProof/>
                  <w:lang w:val="en-US"/>
                </w:rPr>
                <w:t>, 23-32.</w:t>
              </w:r>
            </w:p>
            <w:p w14:paraId="2C6CB0AC" w14:textId="77777777" w:rsidR="00844EC5" w:rsidRDefault="00844EC5" w:rsidP="00844EC5">
              <w:pPr>
                <w:pStyle w:val="Bibliografa"/>
                <w:ind w:left="720" w:hanging="720"/>
                <w:rPr>
                  <w:noProof/>
                </w:rPr>
              </w:pPr>
              <w:r w:rsidRPr="00844EC5">
                <w:rPr>
                  <w:noProof/>
                  <w:lang w:val="en-US"/>
                </w:rPr>
                <w:t xml:space="preserve">LOCHER, C., WITVROUW, M., PIERRE, M., BURCH, M., MOWER, H., DAVIS, H., . . . VLlETINCK, A. (1996). Antiviral activity of Hawaiian medicinal plants against human immunodeficiency Virus Type-1 (HIV-1). </w:t>
              </w:r>
              <w:r>
                <w:rPr>
                  <w:i/>
                  <w:iCs/>
                  <w:noProof/>
                </w:rPr>
                <w:t>Phytomedicine, 2</w:t>
              </w:r>
              <w:r>
                <w:rPr>
                  <w:noProof/>
                </w:rPr>
                <w:t>(3), 259- 264.</w:t>
              </w:r>
            </w:p>
            <w:p w14:paraId="60C27619" w14:textId="77777777" w:rsidR="00844EC5" w:rsidRDefault="00844EC5" w:rsidP="00844EC5">
              <w:pPr>
                <w:pStyle w:val="Bibliografa"/>
                <w:ind w:left="720" w:hanging="720"/>
                <w:rPr>
                  <w:noProof/>
                </w:rPr>
              </w:pPr>
              <w:r>
                <w:rPr>
                  <w:noProof/>
                </w:rPr>
                <w:t xml:space="preserve">Melchor, A. (16 de septiembre de 2016). Semilla de Brasil carece de permisos de Cofepris: comercialización es ilegal. </w:t>
              </w:r>
              <w:r>
                <w:rPr>
                  <w:i/>
                  <w:iCs/>
                  <w:noProof/>
                </w:rPr>
                <w:t>Cambio</w:t>
              </w:r>
              <w:r>
                <w:rPr>
                  <w:noProof/>
                </w:rPr>
                <w:t>.</w:t>
              </w:r>
            </w:p>
            <w:p w14:paraId="1F397F17" w14:textId="77777777" w:rsidR="00844EC5" w:rsidRDefault="00844EC5" w:rsidP="00844EC5">
              <w:pPr>
                <w:pStyle w:val="Bibliografa"/>
                <w:ind w:left="720" w:hanging="720"/>
                <w:rPr>
                  <w:noProof/>
                </w:rPr>
              </w:pPr>
              <w:r>
                <w:rPr>
                  <w:noProof/>
                </w:rPr>
                <w:t xml:space="preserve">OECD. (2017). </w:t>
              </w:r>
              <w:r>
                <w:rPr>
                  <w:i/>
                  <w:iCs/>
                  <w:noProof/>
                </w:rPr>
                <w:t>Obesity Uptade 2017.</w:t>
              </w:r>
              <w:r>
                <w:rPr>
                  <w:noProof/>
                </w:rPr>
                <w:t xml:space="preserve"> Recuperado el 19 de Agosto de 2017, de http://www.oecd.org/els/health-systems/Obesity-Update-2017.pdf</w:t>
              </w:r>
            </w:p>
            <w:p w14:paraId="7BCD5F4E" w14:textId="77777777" w:rsidR="00844EC5" w:rsidRDefault="00844EC5" w:rsidP="00844EC5">
              <w:pPr>
                <w:pStyle w:val="Bibliografa"/>
                <w:ind w:left="720" w:hanging="720"/>
                <w:rPr>
                  <w:noProof/>
                  <w:lang w:val="en-US"/>
                </w:rPr>
              </w:pPr>
              <w:r>
                <w:rPr>
                  <w:noProof/>
                </w:rPr>
                <w:t xml:space="preserve">Quintao, N. L., Meyre-Silva, C., Silva, G. F., Antonialli, C. S., Rocha, L. W., Lucinda-Silva, R. M., . . . </w:t>
              </w:r>
              <w:r w:rsidRPr="00844EC5">
                <w:rPr>
                  <w:noProof/>
                  <w:lang w:val="en-US"/>
                </w:rPr>
                <w:t xml:space="preserve">Bresolin, T. M. (2011). Aleuritesmoluccana (L.)Willd. Leaves: Mechanical Antinociceptive Properties of a Standardized Dried Extract and Its ChemicalMarkers. </w:t>
              </w:r>
              <w:r>
                <w:rPr>
                  <w:i/>
                  <w:iCs/>
                  <w:noProof/>
                </w:rPr>
                <w:t>Evidence-Based Complementary and Alternative Medicine</w:t>
              </w:r>
              <w:r>
                <w:rPr>
                  <w:noProof/>
                </w:rPr>
                <w:t>(179890).</w:t>
              </w:r>
            </w:p>
            <w:p w14:paraId="10CE3E42" w14:textId="77777777" w:rsidR="00844EC5" w:rsidRDefault="00342E21" w:rsidP="00844EC5">
              <w:pPr>
                <w:rPr>
                  <w:lang w:val="es-ES"/>
                </w:rPr>
              </w:pPr>
              <w:r w:rsidRPr="00844EC5">
                <w:rPr>
                  <w:sz w:val="20"/>
                  <w:szCs w:val="20"/>
                  <w:lang w:val="es-ES"/>
                </w:rPr>
                <w:fldChar w:fldCharType="end"/>
              </w:r>
            </w:p>
          </w:sdtContent>
        </w:sdt>
      </w:sdtContent>
    </w:sdt>
    <w:p w14:paraId="53371476" w14:textId="77777777" w:rsidR="00844EC5" w:rsidRPr="00886035" w:rsidRDefault="00844EC5" w:rsidP="00886035">
      <w:pPr>
        <w:contextualSpacing/>
        <w:jc w:val="both"/>
        <w:rPr>
          <w:rFonts w:ascii="Arial" w:hAnsi="Arial" w:cs="Arial"/>
          <w:sz w:val="24"/>
          <w:szCs w:val="24"/>
        </w:rPr>
      </w:pPr>
    </w:p>
    <w:p w14:paraId="0318CC56" w14:textId="77777777" w:rsidR="00886035" w:rsidRPr="005F0138" w:rsidRDefault="00886035" w:rsidP="005F0138">
      <w:pPr>
        <w:rPr>
          <w:rFonts w:ascii="Arial" w:hAnsi="Arial" w:cs="Arial"/>
          <w:sz w:val="24"/>
          <w:szCs w:val="24"/>
        </w:rPr>
      </w:pPr>
    </w:p>
    <w:sectPr w:rsidR="00886035" w:rsidRPr="005F0138" w:rsidSect="006A6F23">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3E45" w14:textId="77777777" w:rsidR="002C322D" w:rsidRDefault="002C322D" w:rsidP="00C13FB7">
      <w:pPr>
        <w:spacing w:after="0" w:line="240" w:lineRule="auto"/>
      </w:pPr>
      <w:r>
        <w:separator/>
      </w:r>
    </w:p>
  </w:endnote>
  <w:endnote w:type="continuationSeparator" w:id="0">
    <w:p w14:paraId="5504990D" w14:textId="77777777" w:rsidR="002C322D" w:rsidRDefault="002C322D" w:rsidP="00C1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B8B4E" w14:textId="77777777" w:rsidR="002C322D" w:rsidRDefault="002C322D" w:rsidP="00C13FB7">
      <w:pPr>
        <w:spacing w:after="0" w:line="240" w:lineRule="auto"/>
      </w:pPr>
      <w:r>
        <w:separator/>
      </w:r>
    </w:p>
  </w:footnote>
  <w:footnote w:type="continuationSeparator" w:id="0">
    <w:p w14:paraId="5CD78B64" w14:textId="77777777" w:rsidR="002C322D" w:rsidRDefault="002C322D" w:rsidP="00C13F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1E36"/>
    <w:multiLevelType w:val="multilevel"/>
    <w:tmpl w:val="74F099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5FC4E1E"/>
    <w:multiLevelType w:val="hybridMultilevel"/>
    <w:tmpl w:val="623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22AC8"/>
    <w:rsid w:val="000252FB"/>
    <w:rsid w:val="00127A5D"/>
    <w:rsid w:val="001600EB"/>
    <w:rsid w:val="00172235"/>
    <w:rsid w:val="001764DD"/>
    <w:rsid w:val="00191801"/>
    <w:rsid w:val="001A2B63"/>
    <w:rsid w:val="001E308F"/>
    <w:rsid w:val="00241AB1"/>
    <w:rsid w:val="00247936"/>
    <w:rsid w:val="002744E0"/>
    <w:rsid w:val="0029335A"/>
    <w:rsid w:val="002C322D"/>
    <w:rsid w:val="003003AF"/>
    <w:rsid w:val="003408A5"/>
    <w:rsid w:val="00342E21"/>
    <w:rsid w:val="00351E1A"/>
    <w:rsid w:val="003B0856"/>
    <w:rsid w:val="003E407E"/>
    <w:rsid w:val="003E6255"/>
    <w:rsid w:val="004269B1"/>
    <w:rsid w:val="0043101F"/>
    <w:rsid w:val="00454C14"/>
    <w:rsid w:val="004878FE"/>
    <w:rsid w:val="004A1043"/>
    <w:rsid w:val="004E238F"/>
    <w:rsid w:val="005721B7"/>
    <w:rsid w:val="00580DCA"/>
    <w:rsid w:val="0059744B"/>
    <w:rsid w:val="005B0077"/>
    <w:rsid w:val="005E6B8C"/>
    <w:rsid w:val="005F0138"/>
    <w:rsid w:val="006A6F23"/>
    <w:rsid w:val="007014D1"/>
    <w:rsid w:val="00730378"/>
    <w:rsid w:val="0075178A"/>
    <w:rsid w:val="007677B6"/>
    <w:rsid w:val="007D3C1E"/>
    <w:rsid w:val="00811639"/>
    <w:rsid w:val="00837F34"/>
    <w:rsid w:val="00844EC5"/>
    <w:rsid w:val="00886035"/>
    <w:rsid w:val="00887F5A"/>
    <w:rsid w:val="00947E8A"/>
    <w:rsid w:val="00966C59"/>
    <w:rsid w:val="00973593"/>
    <w:rsid w:val="00973A7A"/>
    <w:rsid w:val="00AA1A43"/>
    <w:rsid w:val="00AC5955"/>
    <w:rsid w:val="00B14BD3"/>
    <w:rsid w:val="00B536FC"/>
    <w:rsid w:val="00BB1671"/>
    <w:rsid w:val="00C103A8"/>
    <w:rsid w:val="00C13FB7"/>
    <w:rsid w:val="00C3272F"/>
    <w:rsid w:val="00C67727"/>
    <w:rsid w:val="00C847DA"/>
    <w:rsid w:val="00C848E5"/>
    <w:rsid w:val="00C84AF5"/>
    <w:rsid w:val="00CB343A"/>
    <w:rsid w:val="00CE0866"/>
    <w:rsid w:val="00CF240F"/>
    <w:rsid w:val="00D07572"/>
    <w:rsid w:val="00D5757D"/>
    <w:rsid w:val="00DB6651"/>
    <w:rsid w:val="00DD140B"/>
    <w:rsid w:val="00DE4DE6"/>
    <w:rsid w:val="00E04BD3"/>
    <w:rsid w:val="00E16E2B"/>
    <w:rsid w:val="00E25F57"/>
    <w:rsid w:val="00E740D4"/>
    <w:rsid w:val="00E92AE8"/>
    <w:rsid w:val="00F33688"/>
    <w:rsid w:val="00FB5633"/>
    <w:rsid w:val="00FB7224"/>
    <w:rsid w:val="00FF1D1B"/>
    <w:rsid w:val="00FF219F"/>
    <w:rsid w:val="00FF27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B6651"/>
    <w:pPr>
      <w:widowControl w:val="0"/>
      <w:pBdr>
        <w:top w:val="nil"/>
        <w:left w:val="nil"/>
        <w:bottom w:val="nil"/>
        <w:right w:val="nil"/>
        <w:between w:val="nil"/>
      </w:pBdr>
    </w:pPr>
    <w:rPr>
      <w:rFonts w:ascii="Calibri" w:eastAsia="Calibri" w:hAnsi="Calibri" w:cs="Calibri"/>
      <w:color w:val="000000"/>
      <w:lang w:val="es-ES_tradnl" w:eastAsia="es-ES_tradnl"/>
    </w:rPr>
  </w:style>
  <w:style w:type="paragraph" w:styleId="Ttulo1">
    <w:name w:val="heading 1"/>
    <w:basedOn w:val="Normal"/>
    <w:next w:val="Normal"/>
    <w:link w:val="Ttulo1Car"/>
    <w:uiPriority w:val="9"/>
    <w:qFormat/>
    <w:rsid w:val="00844EC5"/>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4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DE6"/>
    <w:rPr>
      <w:rFonts w:ascii="Tahoma" w:eastAsia="Calibri" w:hAnsi="Tahoma" w:cs="Tahoma"/>
      <w:color w:val="000000"/>
      <w:sz w:val="16"/>
      <w:szCs w:val="16"/>
      <w:lang w:val="es-ES_tradnl" w:eastAsia="es-ES_tradnl"/>
    </w:rPr>
  </w:style>
  <w:style w:type="paragraph" w:styleId="Prrafodelista">
    <w:name w:val="List Paragraph"/>
    <w:basedOn w:val="Normal"/>
    <w:uiPriority w:val="34"/>
    <w:qFormat/>
    <w:rsid w:val="005E6B8C"/>
    <w:pPr>
      <w:ind w:left="720"/>
      <w:contextualSpacing/>
    </w:pPr>
  </w:style>
  <w:style w:type="character" w:customStyle="1" w:styleId="apple-converted-space">
    <w:name w:val="apple-converted-space"/>
    <w:basedOn w:val="Fuentedeprrafopredeter"/>
    <w:rsid w:val="00947E8A"/>
  </w:style>
  <w:style w:type="character" w:styleId="Textoennegrita">
    <w:name w:val="Strong"/>
    <w:basedOn w:val="Fuentedeprrafopredeter"/>
    <w:uiPriority w:val="22"/>
    <w:qFormat/>
    <w:rsid w:val="00947E8A"/>
    <w:rPr>
      <w:b/>
      <w:bCs/>
    </w:rPr>
  </w:style>
  <w:style w:type="paragraph" w:styleId="Sinespaciado">
    <w:name w:val="No Spacing"/>
    <w:uiPriority w:val="1"/>
    <w:qFormat/>
    <w:rsid w:val="00947E8A"/>
    <w:pPr>
      <w:spacing w:after="0" w:line="240" w:lineRule="auto"/>
    </w:pPr>
    <w:rPr>
      <w:lang w:val="es-MX"/>
    </w:rPr>
  </w:style>
  <w:style w:type="character" w:customStyle="1" w:styleId="Ttulo1Car">
    <w:name w:val="Título 1 Car"/>
    <w:basedOn w:val="Fuentedeprrafopredeter"/>
    <w:link w:val="Ttulo1"/>
    <w:uiPriority w:val="9"/>
    <w:rsid w:val="00844EC5"/>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84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becerra@uan.edu.mx"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b:Source>
    <b:Tag>OEC17</b:Tag>
    <b:SourceType>DocumentFromInternetSite</b:SourceType>
    <b:Guid>{285B65F4-2701-4EC6-A28A-123D0E8B5E41}</b:Guid>
    <b:Author>
      <b:Author>
        <b:Corporate>OECD</b:Corporate>
      </b:Author>
    </b:Author>
    <b:Title>Obesity Uptade 2017</b:Title>
    <b:Year>2017</b:Year>
    <b:URL>http://www.oecd.org/els/health-systems/Obesity-Update-2017.pdf</b:URL>
    <b:YearAccessed>2017</b:YearAccessed>
    <b:MonthAccessed>Agosto</b:MonthAccessed>
    <b:DayAccessed>19</b:DayAccessed>
    <b:RefOrder>1</b:RefOrder>
  </b:Source>
  <b:Source>
    <b:Tag>Has09</b:Tag>
    <b:SourceType>JournalArticle</b:SourceType>
    <b:Guid>{719D7B0B-39B2-40EA-97C4-D6E71E73DD28}</b:Guid>
    <b:LCID>en-US</b:LCID>
    <b:Author>
      <b:Author>
        <b:NameList>
          <b:Person>
            <b:Last>Hasani-Ranjbar</b:Last>
            <b:First>Shirin</b:First>
          </b:Person>
          <b:Person>
            <b:Last>Nayebi</b:Last>
            <b:First>Neda</b:First>
          </b:Person>
          <b:Person>
            <b:Last>Larijani</b:Last>
            <b:First>Bagher</b:First>
          </b:Person>
          <b:Person>
            <b:Last>Abdollahi</b:Last>
            <b:First>Mohammad</b:First>
          </b:Person>
        </b:NameList>
      </b:Author>
    </b:Author>
    <b:Title>A systematic review of the efficacy and safety of herbal medicines used in the treatment of obesity</b:Title>
    <b:Year>2009</b:Year>
    <b:JournalName>World Journal of Gastroenterology </b:JournalName>
    <b:Pages>3073–3085</b:Pages>
    <b:RefOrder>2</b:RefOrder>
  </b:Source>
  <b:Source>
    <b:Tag>DeO14</b:Tag>
    <b:SourceType>JournalArticle</b:SourceType>
    <b:Guid>{B22F58BE-F67C-4238-895D-710E51820D44}</b:Guid>
    <b:LCID>en-US</b:LCID>
    <b:Author>
      <b:Author>
        <b:NameList>
          <b:Person>
            <b:Last>De Oliveira</b:Last>
            <b:First>AVC</b:First>
          </b:Person>
          <b:Person>
            <b:Last>Rocha</b:Last>
            <b:First>FTR</b:First>
          </b:Person>
          <b:Person>
            <b:Last>Abreu</b:Last>
            <b:First>SR</b:First>
            <b:Middle>de O</b:Middle>
          </b:Person>
        </b:NameList>
      </b:Author>
    </b:Author>
    <b:Title>Acute liver failure and self-medication</b:Title>
    <b:JournalName>Arquivos Brasileiros de Cirurgia Digestiva : ABCD = Brazilian Archives of Digestive Surgery</b:JournalName>
    <b:Year>2014</b:Year>
    <b:Pages>294–297.</b:Pages>
    <b:Volume>27</b:Volume>
    <b:Issue>4</b:Issue>
    <b:RefOrder>3</b:RefOrder>
  </b:Source>
  <b:Source>
    <b:Tag>Qui11</b:Tag>
    <b:SourceType>JournalArticle</b:SourceType>
    <b:Guid>{41DFD32A-3CEC-4959-9B04-29488F4567D4}</b:Guid>
    <b:LCID>en-US</b:LCID>
    <b:Author>
      <b:Author>
        <b:NameList>
          <b:Person>
            <b:Last>Quintao</b:Last>
            <b:First>Nara</b:First>
            <b:Middle>L. M.</b:Middle>
          </b:Person>
          <b:Person>
            <b:Last>Meyre-Silva</b:Last>
            <b:First>Christiane</b:First>
          </b:Person>
          <b:Person>
            <b:Last>Silva</b:Last>
            <b:First>Gislaine</b:First>
            <b:Middle>F.</b:Middle>
          </b:Person>
          <b:Person>
            <b:Last>Antonialli</b:Last>
            <b:First>Carla</b:First>
            <b:Middle>S.</b:Middle>
          </b:Person>
          <b:Person>
            <b:Last>Rocha</b:Last>
            <b:First>Lilian</b:First>
            <b:Middle>W.</b:Middle>
          </b:Person>
          <b:Person>
            <b:Last>Lucinda-Silva</b:Last>
            <b:First>Ruth</b:First>
            <b:Middle>M.</b:Middle>
          </b:Person>
          <b:Person>
            <b:Last>Malheiros</b:Last>
            <b:First>Angela</b:First>
          </b:Person>
          <b:Person>
            <b:Last>Souza</b:Last>
            <b:First>Márcia</b:First>
          </b:Person>
          <b:Person>
            <b:Last>Filho</b:Last>
            <b:First>Cechinel</b:First>
          </b:Person>
          <b:Person>
            <b:Last>Bresolin</b:Last>
            <b:First>Tania</b:First>
            <b:Middle>M.</b:Middle>
          </b:Person>
        </b:NameList>
      </b:Author>
    </b:Author>
    <b:Title>Aleuritesmoluccana (L.)Willd. Leaves: Mechanical Antinociceptive Properties of a Standardized Dried Extract and Its ChemicalMarkers</b:Title>
    <b:JournalName>Evidence-Based Complementary and Alternative Medicine</b:JournalName>
    <b:Year>2011</b:Year>
    <b:Issue>179890</b:Issue>
    <b:RefOrder>4</b:RefOrder>
  </b:Source>
  <b:Source>
    <b:Tag>Duk90</b:Tag>
    <b:SourceType>Book</b:SourceType>
    <b:Guid>{595C4F90-86B1-4E01-B746-2BE5014AA572}</b:Guid>
    <b:Author>
      <b:Author>
        <b:NameList>
          <b:Person>
            <b:Last>Duke</b:Last>
          </b:Person>
        </b:NameList>
      </b:Author>
    </b:Author>
    <b:Title>Handbook of Medicinal Herbs</b:Title>
    <b:Year>1985</b:Year>
    <b:City>Boca Raton, Flo, USA</b:City>
    <b:Publisher>CRC Press; 1985</b:Publisher>
    <b:RefOrder>5</b:RefOrder>
  </b:Source>
  <b:Source>
    <b:Tag>LOC96</b:Tag>
    <b:SourceType>JournalArticle</b:SourceType>
    <b:Guid>{4270B1F2-41C6-468F-9AF1-855FD3EC480B}</b:Guid>
    <b:LCID>en-US</b:LCID>
    <b:Author>
      <b:Author>
        <b:NameList>
          <b:Person>
            <b:Last>LOCHER</b:Last>
            <b:First>CHRISTOPHER</b:First>
          </b:Person>
          <b:Person>
            <b:Last>WITVROUW</b:Last>
            <b:First>MYRIAM</b:First>
          </b:Person>
          <b:Person>
            <b:Last>PIERRE</b:Last>
            <b:First>MARIE</b:First>
          </b:Person>
          <b:Person>
            <b:Last>BURCH</b:Last>
            <b:First>MARK</b:First>
          </b:Person>
          <b:Person>
            <b:Last>MOWER</b:Last>
            <b:First>HOWARD</b:First>
          </b:Person>
          <b:Person>
            <b:Last>DAVIS</b:Last>
            <b:First>HARRY</b:First>
          </b:Person>
          <b:Person>
            <b:Last>LASURE</b:Last>
            <b:First>ALEIDIS</b:First>
          </b:Person>
          <b:Person>
            <b:Last>PAUWELS</b:Last>
            <b:First>RUDI</b:First>
          </b:Person>
          <b:Person>
            <b:Last>DE CLERCQ</b:Last>
            <b:First>ERIK</b:First>
          </b:Person>
          <b:Person>
            <b:Last>VLlETINCK</b:Last>
            <b:First>ARNOLD</b:First>
          </b:Person>
        </b:NameList>
      </b:Author>
    </b:Author>
    <b:Title>Antiviral activity of Hawaiian medicinal plants against human immunodeficiency Virus Type-1 (HIV-1)</b:Title>
    <b:JournalName>Phytomedicine</b:JournalName>
    <b:Year>1996</b:Year>
    <b:Pages>259- 264</b:Pages>
    <b:Volume>2</b:Volume>
    <b:Issue>3</b:Issue>
    <b:RefOrder>6</b:RefOrder>
  </b:Source>
  <b:Source>
    <b:Tag>Loc95</b:Tag>
    <b:SourceType>JournalArticle</b:SourceType>
    <b:Guid>{ABF984AD-43E7-4523-8A63-564D77A73BB4}</b:Guid>
    <b:LCID>en-US</b:LCID>
    <b:Author>
      <b:Author>
        <b:NameList>
          <b:Person>
            <b:Last>Locher</b:Last>
            <b:First>C.P.</b:First>
          </b:Person>
          <b:Person>
            <b:Last>Burch</b:Last>
            <b:First>M.T.</b:First>
          </b:Person>
          <b:Person>
            <b:Last>Mower</b:Last>
            <b:First>H.F.</b:First>
          </b:Person>
          <b:Person>
            <b:Last>Berestecky</b:Last>
            <b:First>J.</b:First>
          </b:Person>
          <b:Person>
            <b:Last>Davis</b:Last>
            <b:First>H.</b:First>
          </b:Person>
          <b:Person>
            <b:Last>Van Poel</b:Last>
            <b:First>B.</b:First>
          </b:Person>
          <b:Person>
            <b:Last>Lasure</b:Last>
            <b:First>A.</b:First>
          </b:Person>
          <b:Person>
            <b:Last>Vanden Berghe</b:Last>
            <b:First>D.A.</b:First>
          </b:Person>
          <b:Person>
            <b:Last>Vlietinck</b:Last>
            <b:First>A.J.</b:First>
          </b:Person>
        </b:NameList>
      </b:Author>
    </b:Author>
    <b:Title>Anti-microbial activity and anti-complement activity of extracts obtained from selected Hawaiian medicinal plants</b:Title>
    <b:JournalName>Journal of Ethnopharmacology</b:JournalName>
    <b:Year>1995</b:Year>
    <b:Pages>23-32</b:Pages>
    <b:Volume>49</b:Volume>
    <b:RefOrder>7</b:RefOrder>
  </b:Source>
  <b:Source>
    <b:Tag>GGo07</b:Tag>
    <b:SourceType>JournalArticle</b:SourceType>
    <b:Guid>{826A18F8-9DEE-4FAA-8629-1080E4734B8F}</b:Guid>
    <b:Title>Phorbol esters: structure, biological activity, and toxicity in animals.</b:Title>
    <b:Year>2007</b:Year>
    <b:Author>
      <b:Author>
        <b:NameList>
          <b:Person>
            <b:Last>G. Goel</b:Last>
            <b:First>HP.</b:First>
            <b:Middle>Makkar, G. Francis, K. Becker</b:Middle>
          </b:Person>
        </b:NameList>
      </b:Author>
    </b:Author>
    <b:JournalName>International Journal of Toxicolgy</b:JournalName>
    <b:Pages>88</b:Pages>
    <b:RefOrder>8</b:RefOrder>
  </b:Source>
  <b:Source>
    <b:Tag>Jua98</b:Tag>
    <b:SourceType>ElectronicSource</b:SourceType>
    <b:Guid>{7D104BF4-6792-41F6-BE91-FE328313371A}</b:Guid>
    <b:Title>REGLAMENTO de Insumos para la Salud.</b:Title>
    <b:Year>1998</b:Year>
    <b:Month>febrero</b:Month>
    <b:Day>3</b:Day>
    <b:Author>
      <b:Author>
        <b:NameList>
          <b:Person>
            <b:Last>De la Fuente</b:Last>
            <b:First>Ramón</b:First>
          </b:Person>
        </b:NameList>
      </b:Author>
    </b:Author>
    <b:City>Ciudad de México</b:City>
    <b:StateProvince>Distrito Federal</b:StateProvince>
    <b:CountryRegion>Mexico</b:CountryRegion>
    <b:LCID>en-US</b:LCID>
    <b:RefOrder>10</b:RefOrder>
  </b:Source>
  <b:Source>
    <b:Tag>Alb16</b:Tag>
    <b:SourceType>ArticleInAPeriodical</b:SourceType>
    <b:Guid>{6083261E-CBE0-458A-8C29-E9864C2D90ED}</b:Guid>
    <b:Title>Semilla de Brasil carece de permisos de Cofepris: comercialización es ilegal</b:Title>
    <b:Year>2016</b:Year>
    <b:Month>septiembre</b:Month>
    <b:Day>16</b:Day>
    <b:Author>
      <b:Author>
        <b:NameList>
          <b:Person>
            <b:Last>Melchor</b:Last>
            <b:First>Alberto</b:First>
          </b:Person>
        </b:NameList>
      </b:Author>
    </b:Author>
    <b:PeriodicalTitle>Cambio</b:PeriodicalTitle>
    <b:RefOrder>11</b:RefOrder>
  </b:Source>
  <b:Source>
    <b:Tag>Lui161</b:Tag>
    <b:SourceType>ArticleInAPeriodical</b:SourceType>
    <b:Guid>{C1AC41C1-915D-4AF6-8195-6FFFAC2CD786}</b:Guid>
    <b:Author>
      <b:Author>
        <b:NameList>
          <b:Person>
            <b:Last>Cataño</b:Last>
            <b:First>Luis</b:First>
          </b:Person>
        </b:NameList>
      </b:Author>
    </b:Author>
    <b:Title>SSA deslinda en Cofepris la prohibición de Semilla de Brasil</b:Title>
    <b:PeriodicalTitle>CAMBIO</b:PeriodicalTitle>
    <b:Year>2016</b:Year>
    <b:Month>Junio</b:Month>
    <b:Day>20</b:Day>
    <b:RefOrder>9</b:RefOrder>
  </b:Source>
</b:Sources>
</file>

<file path=customXml/itemProps1.xml><?xml version="1.0" encoding="utf-8"?>
<ds:datastoreItem xmlns:ds="http://schemas.openxmlformats.org/officeDocument/2006/customXml" ds:itemID="{3B284738-B22A-914E-9424-051BE3D7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12624</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Microsoft Office</cp:lastModifiedBy>
  <cp:revision>2</cp:revision>
  <dcterms:created xsi:type="dcterms:W3CDTF">2017-09-01T05:26:00Z</dcterms:created>
  <dcterms:modified xsi:type="dcterms:W3CDTF">2017-09-01T05:26:00Z</dcterms:modified>
</cp:coreProperties>
</file>