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72D1F" w14:textId="66E06CA5" w:rsidR="00606CA9" w:rsidRDefault="00C33E89" w:rsidP="00606CA9">
      <w:pPr>
        <w:autoSpaceDE w:val="0"/>
        <w:autoSpaceDN w:val="0"/>
        <w:adjustRightInd w:val="0"/>
        <w:spacing w:line="240" w:lineRule="auto"/>
        <w:jc w:val="center"/>
        <w:rPr>
          <w:rFonts w:ascii="Arial" w:eastAsiaTheme="minorHAnsi" w:hAnsi="Arial" w:cs="Arial"/>
          <w:b/>
          <w:bCs/>
          <w:iCs/>
          <w:sz w:val="24"/>
          <w:szCs w:val="24"/>
        </w:rPr>
      </w:pPr>
      <w:r w:rsidRPr="00C33E89">
        <w:rPr>
          <w:rFonts w:ascii="Arial" w:eastAsiaTheme="minorHAnsi" w:hAnsi="Arial" w:cs="Arial"/>
          <w:b/>
          <w:bCs/>
          <w:iCs/>
          <w:sz w:val="24"/>
          <w:szCs w:val="24"/>
        </w:rPr>
        <w:t>R</w:t>
      </w:r>
      <w:r w:rsidRPr="00C33E89">
        <w:rPr>
          <w:rFonts w:ascii="Arial" w:eastAsiaTheme="minorHAnsi" w:hAnsi="Arial" w:cs="Arial"/>
          <w:b/>
          <w:sz w:val="24"/>
          <w:szCs w:val="24"/>
        </w:rPr>
        <w:t xml:space="preserve">ecarga hídrica del acuífero Valle de Matatipac en la cuenca del río Mololoa </w:t>
      </w:r>
      <w:r w:rsidR="00606CA9">
        <w:rPr>
          <w:rFonts w:ascii="Arial" w:eastAsiaTheme="minorHAnsi" w:hAnsi="Arial" w:cs="Arial"/>
          <w:b/>
          <w:bCs/>
          <w:iCs/>
          <w:sz w:val="24"/>
          <w:szCs w:val="24"/>
        </w:rPr>
        <w:t>Nayarit, México</w:t>
      </w:r>
      <w:r w:rsidR="00E65404">
        <w:rPr>
          <w:rFonts w:ascii="Arial" w:eastAsiaTheme="minorHAnsi" w:hAnsi="Arial" w:cs="Arial"/>
          <w:b/>
          <w:bCs/>
          <w:iCs/>
          <w:sz w:val="24"/>
          <w:szCs w:val="24"/>
        </w:rPr>
        <w:t xml:space="preserve">  </w:t>
      </w:r>
    </w:p>
    <w:p w14:paraId="6B746715" w14:textId="5D78682F" w:rsidR="00C33E89" w:rsidRDefault="00C33E89" w:rsidP="00606CA9">
      <w:pPr>
        <w:autoSpaceDE w:val="0"/>
        <w:autoSpaceDN w:val="0"/>
        <w:adjustRightInd w:val="0"/>
        <w:spacing w:line="240" w:lineRule="auto"/>
        <w:jc w:val="center"/>
        <w:rPr>
          <w:rFonts w:ascii="Arial" w:eastAsiaTheme="minorHAnsi" w:hAnsi="Arial" w:cs="Arial"/>
          <w:bCs/>
          <w:iCs/>
          <w:sz w:val="24"/>
          <w:szCs w:val="24"/>
        </w:rPr>
      </w:pPr>
      <w:r w:rsidRPr="00C33E89">
        <w:rPr>
          <w:rFonts w:ascii="Arial" w:eastAsiaTheme="minorHAnsi" w:hAnsi="Arial" w:cs="Arial"/>
          <w:bCs/>
          <w:iCs/>
          <w:sz w:val="24"/>
          <w:szCs w:val="24"/>
          <w:vertAlign w:val="superscript"/>
        </w:rPr>
        <w:t>1</w:t>
      </w:r>
      <w:r>
        <w:rPr>
          <w:rFonts w:ascii="Arial" w:eastAsiaTheme="minorHAnsi" w:hAnsi="Arial" w:cs="Arial"/>
          <w:bCs/>
          <w:iCs/>
          <w:sz w:val="24"/>
          <w:szCs w:val="24"/>
        </w:rPr>
        <w:t xml:space="preserve"> Nájera González, O; </w:t>
      </w:r>
      <w:r w:rsidRPr="00C33E89">
        <w:rPr>
          <w:rFonts w:ascii="Arial" w:eastAsiaTheme="minorHAnsi" w:hAnsi="Arial" w:cs="Arial"/>
          <w:bCs/>
          <w:iCs/>
          <w:sz w:val="24"/>
          <w:szCs w:val="24"/>
          <w:vertAlign w:val="superscript"/>
        </w:rPr>
        <w:t>2</w:t>
      </w:r>
      <w:r w:rsidR="00606CA9">
        <w:rPr>
          <w:rFonts w:ascii="Arial" w:eastAsiaTheme="minorHAnsi" w:hAnsi="Arial" w:cs="Arial"/>
          <w:bCs/>
          <w:iCs/>
          <w:sz w:val="24"/>
          <w:szCs w:val="24"/>
        </w:rPr>
        <w:t>González García Sancho, A.</w:t>
      </w:r>
      <w:r w:rsidR="00383A41">
        <w:rPr>
          <w:rFonts w:ascii="Arial" w:eastAsiaTheme="minorHAnsi" w:hAnsi="Arial" w:cs="Arial"/>
          <w:bCs/>
          <w:iCs/>
          <w:sz w:val="24"/>
          <w:szCs w:val="24"/>
        </w:rPr>
        <w:t xml:space="preserve">, </w:t>
      </w:r>
      <w:r w:rsidR="00383A41" w:rsidRPr="00383A41">
        <w:rPr>
          <w:rFonts w:ascii="Arial" w:eastAsiaTheme="minorHAnsi" w:hAnsi="Arial" w:cs="Arial"/>
          <w:bCs/>
          <w:iCs/>
          <w:sz w:val="24"/>
          <w:szCs w:val="24"/>
          <w:vertAlign w:val="superscript"/>
        </w:rPr>
        <w:t>3</w:t>
      </w:r>
      <w:r w:rsidR="00383A41">
        <w:rPr>
          <w:rFonts w:ascii="Arial" w:eastAsiaTheme="minorHAnsi" w:hAnsi="Arial" w:cs="Arial"/>
          <w:bCs/>
          <w:iCs/>
          <w:sz w:val="24"/>
          <w:szCs w:val="24"/>
        </w:rPr>
        <w:t>Murray, Núñez, R.</w:t>
      </w:r>
    </w:p>
    <w:p w14:paraId="7B2F019C" w14:textId="48FA577E" w:rsidR="00C33E89" w:rsidRPr="00606CA9" w:rsidRDefault="00C33E89" w:rsidP="00606CA9">
      <w:pPr>
        <w:autoSpaceDE w:val="0"/>
        <w:autoSpaceDN w:val="0"/>
        <w:adjustRightInd w:val="0"/>
        <w:spacing w:line="240" w:lineRule="auto"/>
        <w:rPr>
          <w:rFonts w:ascii="Arial" w:eastAsiaTheme="minorHAnsi" w:hAnsi="Arial" w:cs="Arial"/>
          <w:bCs/>
          <w:iCs/>
          <w:szCs w:val="24"/>
        </w:rPr>
      </w:pPr>
      <w:r w:rsidRPr="00606CA9">
        <w:rPr>
          <w:rFonts w:ascii="Arial" w:eastAsiaTheme="minorHAnsi" w:hAnsi="Arial" w:cs="Arial"/>
          <w:bCs/>
          <w:iCs/>
          <w:szCs w:val="24"/>
          <w:vertAlign w:val="superscript"/>
        </w:rPr>
        <w:t>1</w:t>
      </w:r>
      <w:r w:rsidR="00383A41">
        <w:rPr>
          <w:rFonts w:ascii="Arial" w:eastAsiaTheme="minorHAnsi" w:hAnsi="Arial" w:cs="Arial"/>
          <w:bCs/>
          <w:iCs/>
          <w:szCs w:val="24"/>
          <w:vertAlign w:val="superscript"/>
        </w:rPr>
        <w:t>,3</w:t>
      </w:r>
      <w:r w:rsidR="00606CA9" w:rsidRPr="00606CA9">
        <w:rPr>
          <w:rFonts w:ascii="Arial" w:eastAsiaTheme="minorHAnsi" w:hAnsi="Arial" w:cs="Arial"/>
          <w:bCs/>
          <w:iCs/>
          <w:szCs w:val="24"/>
        </w:rPr>
        <w:t xml:space="preserve">Cuerpo Académico Recursos Naturales, Secretaría de Investigación y Posgrado, Universidad Autónoma de Nayarit. Cd. de la Cultura A. Nervo, Tepic, Nayarit. Tel. 311-122-7772,  Email. </w:t>
      </w:r>
      <w:hyperlink r:id="rId5" w:history="1">
        <w:r w:rsidR="00606CA9" w:rsidRPr="00606CA9">
          <w:rPr>
            <w:rStyle w:val="Hipervnculo"/>
            <w:rFonts w:ascii="Arial" w:eastAsiaTheme="minorHAnsi" w:hAnsi="Arial" w:cs="Arial"/>
            <w:bCs/>
            <w:iCs/>
            <w:szCs w:val="24"/>
          </w:rPr>
          <w:t>oyolsi@uan.edu.mx</w:t>
        </w:r>
      </w:hyperlink>
    </w:p>
    <w:p w14:paraId="555DC092" w14:textId="6F41C39D" w:rsidR="00C33E89" w:rsidRDefault="00606CA9" w:rsidP="00606CA9">
      <w:pPr>
        <w:autoSpaceDE w:val="0"/>
        <w:autoSpaceDN w:val="0"/>
        <w:adjustRightInd w:val="0"/>
        <w:spacing w:line="240" w:lineRule="auto"/>
        <w:rPr>
          <w:rFonts w:ascii="Arial" w:eastAsiaTheme="minorHAnsi" w:hAnsi="Arial" w:cs="Arial"/>
          <w:bCs/>
          <w:iCs/>
          <w:szCs w:val="24"/>
        </w:rPr>
      </w:pPr>
      <w:r w:rsidRPr="00606CA9">
        <w:rPr>
          <w:rFonts w:ascii="Arial" w:eastAsiaTheme="minorHAnsi" w:hAnsi="Arial" w:cs="Arial"/>
          <w:bCs/>
          <w:iCs/>
          <w:szCs w:val="24"/>
          <w:vertAlign w:val="superscript"/>
        </w:rPr>
        <w:t>2</w:t>
      </w:r>
      <w:r w:rsidR="00383A41">
        <w:rPr>
          <w:rFonts w:ascii="Arial" w:eastAsiaTheme="minorHAnsi" w:hAnsi="Arial" w:cs="Arial"/>
          <w:bCs/>
          <w:iCs/>
          <w:szCs w:val="24"/>
          <w:vertAlign w:val="superscript"/>
        </w:rPr>
        <w:t>,</w:t>
      </w:r>
      <w:r w:rsidRPr="00606CA9">
        <w:rPr>
          <w:rFonts w:ascii="Arial" w:eastAsiaTheme="minorHAnsi" w:hAnsi="Arial" w:cs="Arial"/>
          <w:bCs/>
          <w:iCs/>
          <w:szCs w:val="24"/>
        </w:rPr>
        <w:t>Estudiante del Doctorado en Ciencias Biológico Agropecuarias y Pesqueras (CBAP), Universidad Autónoma de Nayarit.</w:t>
      </w:r>
    </w:p>
    <w:p w14:paraId="1E138E5D" w14:textId="77777777" w:rsidR="00606CA9" w:rsidRPr="00606CA9" w:rsidRDefault="00606CA9" w:rsidP="00606CA9">
      <w:pPr>
        <w:autoSpaceDE w:val="0"/>
        <w:autoSpaceDN w:val="0"/>
        <w:adjustRightInd w:val="0"/>
        <w:spacing w:line="240" w:lineRule="auto"/>
        <w:rPr>
          <w:rFonts w:ascii="Arial" w:eastAsiaTheme="minorHAnsi" w:hAnsi="Arial" w:cs="Arial"/>
          <w:bCs/>
          <w:iCs/>
          <w:szCs w:val="24"/>
        </w:rPr>
      </w:pPr>
    </w:p>
    <w:p w14:paraId="08B18778" w14:textId="77777777" w:rsidR="00C33E89" w:rsidRPr="00C33E89" w:rsidRDefault="00C33E89" w:rsidP="00606CA9">
      <w:pPr>
        <w:autoSpaceDE w:val="0"/>
        <w:autoSpaceDN w:val="0"/>
        <w:adjustRightInd w:val="0"/>
        <w:spacing w:line="480" w:lineRule="auto"/>
        <w:jc w:val="center"/>
        <w:rPr>
          <w:rFonts w:ascii="Arial" w:eastAsiaTheme="minorHAnsi" w:hAnsi="Arial" w:cs="Arial"/>
          <w:b/>
          <w:bCs/>
          <w:iCs/>
          <w:sz w:val="24"/>
          <w:szCs w:val="24"/>
        </w:rPr>
      </w:pPr>
      <w:bookmarkStart w:id="0" w:name="_GoBack"/>
      <w:bookmarkEnd w:id="0"/>
      <w:r>
        <w:rPr>
          <w:rFonts w:ascii="Arial" w:eastAsiaTheme="minorHAnsi" w:hAnsi="Arial" w:cs="Arial"/>
          <w:b/>
          <w:bCs/>
          <w:i/>
          <w:iCs/>
          <w:sz w:val="24"/>
          <w:szCs w:val="24"/>
        </w:rPr>
        <w:t>Resumen</w:t>
      </w:r>
    </w:p>
    <w:p w14:paraId="6091C0DB" w14:textId="77777777" w:rsidR="00606CA9" w:rsidRDefault="0036449E" w:rsidP="00C33E89">
      <w:pPr>
        <w:autoSpaceDE w:val="0"/>
        <w:autoSpaceDN w:val="0"/>
        <w:adjustRightInd w:val="0"/>
        <w:spacing w:line="240" w:lineRule="auto"/>
        <w:rPr>
          <w:rFonts w:ascii="Arial" w:eastAsiaTheme="minorHAnsi" w:hAnsi="Arial" w:cs="Arial"/>
          <w:sz w:val="24"/>
          <w:szCs w:val="24"/>
          <w:lang w:val="es-ES_tradnl" w:eastAsia="es-ES"/>
        </w:rPr>
      </w:pPr>
      <w:r>
        <w:rPr>
          <w:rFonts w:ascii="Arial" w:eastAsiaTheme="minorHAnsi" w:hAnsi="Arial" w:cs="Arial"/>
          <w:sz w:val="24"/>
          <w:szCs w:val="24"/>
          <w:lang w:val="es-ES_tradnl" w:eastAsia="es-ES"/>
        </w:rPr>
        <w:t>E</w:t>
      </w:r>
      <w:r w:rsidR="00C33E89" w:rsidRPr="00F11C7A">
        <w:rPr>
          <w:rFonts w:ascii="Arial" w:eastAsiaTheme="minorHAnsi" w:hAnsi="Arial" w:cs="Arial"/>
          <w:sz w:val="24"/>
          <w:szCs w:val="24"/>
          <w:lang w:val="es-ES_tradnl" w:eastAsia="es-ES"/>
        </w:rPr>
        <w:t>l abastecimiento de agua para los mexicanos se basa en</w:t>
      </w:r>
      <w:r>
        <w:rPr>
          <w:rFonts w:ascii="Arial" w:eastAsiaTheme="minorHAnsi" w:hAnsi="Arial" w:cs="Arial"/>
          <w:sz w:val="24"/>
          <w:szCs w:val="24"/>
          <w:lang w:val="es-ES_tradnl" w:eastAsia="es-ES"/>
        </w:rPr>
        <w:t xml:space="preserve"> la explotación intensiva de</w:t>
      </w:r>
      <w:r w:rsidR="00C33E89" w:rsidRPr="00F11C7A">
        <w:rPr>
          <w:rFonts w:ascii="Arial" w:eastAsiaTheme="minorHAnsi" w:hAnsi="Arial" w:cs="Arial"/>
          <w:sz w:val="24"/>
          <w:szCs w:val="24"/>
          <w:lang w:val="es-ES_tradnl" w:eastAsia="es-ES"/>
        </w:rPr>
        <w:t xml:space="preserve"> aguas subterráneas o en la importación de volúmenes desde zonas distantes, impulsando impactos ambientales severos, problemas sociales, económicos-administrativos y altos requerimientos energéticos; aunado a esto se encuentra la amenaza de los efectos del cambio climático, lo </w:t>
      </w:r>
      <w:r>
        <w:rPr>
          <w:rFonts w:ascii="Arial" w:eastAsiaTheme="minorHAnsi" w:hAnsi="Arial" w:cs="Arial"/>
          <w:sz w:val="24"/>
          <w:szCs w:val="24"/>
          <w:lang w:val="es-ES_tradnl" w:eastAsia="es-ES"/>
        </w:rPr>
        <w:t>que plantea para México el reto de</w:t>
      </w:r>
      <w:r w:rsidR="00C33E89" w:rsidRPr="00F11C7A">
        <w:rPr>
          <w:rFonts w:ascii="Arial" w:eastAsiaTheme="minorHAnsi" w:hAnsi="Arial" w:cs="Arial"/>
          <w:sz w:val="24"/>
          <w:szCs w:val="24"/>
          <w:lang w:val="es-ES_tradnl" w:eastAsia="es-ES"/>
        </w:rPr>
        <w:t xml:space="preserve"> abastecer a la población con agua de calidad que satisfaga sus necesidades básicas. </w:t>
      </w:r>
    </w:p>
    <w:p w14:paraId="272C0C10" w14:textId="3523B853" w:rsidR="0036449E" w:rsidRPr="00606CA9" w:rsidRDefault="00606CA9" w:rsidP="00606CA9">
      <w:pPr>
        <w:autoSpaceDE w:val="0"/>
        <w:autoSpaceDN w:val="0"/>
        <w:adjustRightInd w:val="0"/>
        <w:spacing w:line="240" w:lineRule="auto"/>
        <w:rPr>
          <w:rFonts w:ascii="Arial" w:eastAsiaTheme="minorHAnsi" w:hAnsi="Arial" w:cs="Arial"/>
          <w:sz w:val="24"/>
          <w:szCs w:val="24"/>
          <w:lang w:val="es-ES_tradnl" w:eastAsia="es-ES"/>
        </w:rPr>
      </w:pPr>
      <w:r>
        <w:rPr>
          <w:rFonts w:ascii="Arial" w:eastAsiaTheme="minorHAnsi" w:hAnsi="Arial" w:cs="Arial"/>
          <w:sz w:val="24"/>
          <w:szCs w:val="24"/>
          <w:lang w:val="es-ES_tradnl" w:eastAsia="es-ES"/>
        </w:rPr>
        <w:t>De aquí</w:t>
      </w:r>
      <w:r w:rsidR="00C33E89" w:rsidRPr="00F11C7A">
        <w:rPr>
          <w:rFonts w:ascii="Arial" w:eastAsiaTheme="minorHAnsi" w:hAnsi="Arial" w:cs="Arial"/>
          <w:sz w:val="24"/>
          <w:szCs w:val="24"/>
          <w:lang w:val="es-ES_tradnl" w:eastAsia="es-ES"/>
        </w:rPr>
        <w:t xml:space="preserve"> la relevancia de conocer las zonas de recarga hídrica de los acuíferos y los elementos del balance hídrico </w:t>
      </w:r>
      <w:r w:rsidR="0036449E">
        <w:rPr>
          <w:rFonts w:ascii="Arial" w:eastAsiaTheme="minorHAnsi" w:hAnsi="Arial" w:cs="Arial"/>
          <w:sz w:val="24"/>
          <w:szCs w:val="24"/>
          <w:lang w:val="es-ES_tradnl" w:eastAsia="es-ES"/>
        </w:rPr>
        <w:t xml:space="preserve">que garanticen dicha recarga, con el fin de </w:t>
      </w:r>
      <w:r w:rsidR="00C33E89" w:rsidRPr="00F11C7A">
        <w:rPr>
          <w:rFonts w:ascii="Arial" w:eastAsiaTheme="minorHAnsi" w:hAnsi="Arial" w:cs="Arial"/>
          <w:sz w:val="24"/>
          <w:szCs w:val="24"/>
          <w:lang w:val="es-ES_tradnl" w:eastAsia="es-ES"/>
        </w:rPr>
        <w:t>fomentar mecanismos de planeación que favorezca la conservación y el aprovechamiento sustentable de las aguas subterráneas.</w:t>
      </w:r>
      <w:r>
        <w:rPr>
          <w:rFonts w:ascii="Arial" w:eastAsiaTheme="minorHAnsi" w:hAnsi="Arial" w:cs="Arial"/>
          <w:sz w:val="24"/>
          <w:szCs w:val="24"/>
          <w:lang w:val="es-ES_tradnl" w:eastAsia="es-ES"/>
        </w:rPr>
        <w:t xml:space="preserve"> </w:t>
      </w:r>
      <w:r w:rsidRPr="00606CA9">
        <w:rPr>
          <w:rFonts w:ascii="Arial" w:eastAsiaTheme="minorHAnsi" w:hAnsi="Arial" w:cs="Arial"/>
          <w:sz w:val="24"/>
          <w:szCs w:val="24"/>
          <w:lang w:val="es-ES_tradnl" w:eastAsia="es-ES"/>
        </w:rPr>
        <w:t xml:space="preserve">Así, </w:t>
      </w:r>
      <w:r w:rsidR="00C33E89" w:rsidRPr="00606CA9">
        <w:rPr>
          <w:rFonts w:ascii="Arial" w:hAnsi="Arial" w:cs="Arial"/>
          <w:sz w:val="24"/>
          <w:szCs w:val="24"/>
          <w:lang w:val="es-ES_tradnl" w:eastAsia="es-ES"/>
        </w:rPr>
        <w:t xml:space="preserve">El objetivo de este trabajo es </w:t>
      </w:r>
      <w:r w:rsidR="00C33E89" w:rsidRPr="00606CA9">
        <w:rPr>
          <w:rFonts w:ascii="Arial" w:hAnsi="Arial" w:cs="Arial"/>
          <w:sz w:val="24"/>
          <w:szCs w:val="24"/>
        </w:rPr>
        <w:t xml:space="preserve">analizar y priorizar las unidades de recarga hídrica del acuífero del Valle de Matatipac a partir del balance </w:t>
      </w:r>
      <w:r w:rsidR="00C33E89" w:rsidRPr="00606CA9">
        <w:rPr>
          <w:rFonts w:ascii="Arial" w:hAnsi="Arial" w:cs="Arial"/>
          <w:sz w:val="24"/>
          <w:szCs w:val="24"/>
          <w:lang w:val="es-ES_tradnl" w:eastAsia="es-ES"/>
        </w:rPr>
        <w:t>hídrico.</w:t>
      </w:r>
      <w:r w:rsidR="00C33E89">
        <w:rPr>
          <w:lang w:val="es-ES_tradnl" w:eastAsia="es-ES"/>
        </w:rPr>
        <w:t xml:space="preserve"> </w:t>
      </w:r>
    </w:p>
    <w:p w14:paraId="68F1DB96" w14:textId="60EA90A6" w:rsidR="0036449E" w:rsidRDefault="00C33E89" w:rsidP="0036449E">
      <w:pPr>
        <w:pStyle w:val="Default"/>
        <w:jc w:val="both"/>
      </w:pPr>
      <w:r w:rsidRPr="00606CA9">
        <w:t>Se utilizó la propuesta metodológica de Ramírez</w:t>
      </w:r>
      <w:r w:rsidR="0036449E" w:rsidRPr="00606CA9">
        <w:t xml:space="preserve"> (2013)</w:t>
      </w:r>
      <w:r w:rsidR="00606CA9" w:rsidRPr="00606CA9">
        <w:t xml:space="preserve"> y Schosinsky (2006)</w:t>
      </w:r>
      <w:r w:rsidR="0036449E" w:rsidRPr="00606CA9">
        <w:t>, que consiste en generar</w:t>
      </w:r>
      <w:r w:rsidRPr="00606CA9">
        <w:t xml:space="preserve"> un mapa de unidades de recarga hídrica del acuífero </w:t>
      </w:r>
      <w:r w:rsidR="00606CA9" w:rsidRPr="00606CA9">
        <w:t>con base en</w:t>
      </w:r>
      <w:r w:rsidRPr="00606CA9">
        <w:t xml:space="preserve"> el balance hídrico de suelos pa</w:t>
      </w:r>
      <w:r w:rsidR="0036449E" w:rsidRPr="00606CA9">
        <w:t>ra determinar la r</w:t>
      </w:r>
      <w:r w:rsidR="00606CA9" w:rsidRPr="00606CA9">
        <w:t>ecarga anual, utilizando sistemas de información geográfica como herramientas de apoyo.</w:t>
      </w:r>
    </w:p>
    <w:p w14:paraId="2181F22B" w14:textId="77777777" w:rsidR="0036449E" w:rsidRDefault="0036449E" w:rsidP="0036449E">
      <w:pPr>
        <w:pStyle w:val="Default"/>
        <w:jc w:val="both"/>
      </w:pPr>
    </w:p>
    <w:p w14:paraId="11342BF3" w14:textId="4B208AFC" w:rsidR="0036449E" w:rsidRPr="0036449E" w:rsidRDefault="0036449E" w:rsidP="0036449E">
      <w:pPr>
        <w:pStyle w:val="Default"/>
        <w:jc w:val="both"/>
        <w:rPr>
          <w:bCs/>
        </w:rPr>
      </w:pPr>
      <w:r>
        <w:t xml:space="preserve">Los resultados revelan que en </w:t>
      </w:r>
      <w:r w:rsidR="00C33E89">
        <w:rPr>
          <w:bCs/>
        </w:rPr>
        <w:t xml:space="preserve">el periodo </w:t>
      </w:r>
      <w:r>
        <w:rPr>
          <w:bCs/>
        </w:rPr>
        <w:t>de análisis (</w:t>
      </w:r>
      <w:r w:rsidR="00C33E89">
        <w:rPr>
          <w:bCs/>
        </w:rPr>
        <w:t>año 2000 a 2011</w:t>
      </w:r>
      <w:r>
        <w:rPr>
          <w:bCs/>
        </w:rPr>
        <w:t>)</w:t>
      </w:r>
      <w:r w:rsidR="00C33E89">
        <w:rPr>
          <w:bCs/>
        </w:rPr>
        <w:t xml:space="preserve"> se presentó una pérdida </w:t>
      </w:r>
      <w:r>
        <w:rPr>
          <w:bCs/>
        </w:rPr>
        <w:t xml:space="preserve">en las superficies </w:t>
      </w:r>
      <w:r w:rsidR="00C33E89">
        <w:rPr>
          <w:bCs/>
        </w:rPr>
        <w:t xml:space="preserve">de recarga de </w:t>
      </w:r>
      <w:r w:rsidR="00C33E89" w:rsidRPr="001110B9">
        <w:rPr>
          <w:bCs/>
        </w:rPr>
        <w:t>24</w:t>
      </w:r>
      <w:r w:rsidR="00C33E89">
        <w:rPr>
          <w:bCs/>
        </w:rPr>
        <w:t>.</w:t>
      </w:r>
      <w:r w:rsidR="00C33E89" w:rsidRPr="001110B9">
        <w:rPr>
          <w:bCs/>
        </w:rPr>
        <w:t>268</w:t>
      </w:r>
      <w:r w:rsidR="00C33E89">
        <w:rPr>
          <w:bCs/>
        </w:rPr>
        <w:t xml:space="preserve"> </w:t>
      </w:r>
      <w:r w:rsidR="00C33E89" w:rsidRPr="001C18C0">
        <w:rPr>
          <w:bCs/>
        </w:rPr>
        <w:t>hm</w:t>
      </w:r>
      <w:r w:rsidR="00C33E89" w:rsidRPr="00B60CF2">
        <w:rPr>
          <w:bCs/>
          <w:vertAlign w:val="superscript"/>
        </w:rPr>
        <w:t>3</w:t>
      </w:r>
      <w:r w:rsidR="00C33E89" w:rsidRPr="001C18C0">
        <w:rPr>
          <w:bCs/>
        </w:rPr>
        <w:t>/año</w:t>
      </w:r>
      <w:r w:rsidR="00C33E89">
        <w:rPr>
          <w:bCs/>
        </w:rPr>
        <w:t xml:space="preserve"> a causa de la defo</w:t>
      </w:r>
      <w:r>
        <w:rPr>
          <w:bCs/>
        </w:rPr>
        <w:t xml:space="preserve">restación de vegetación natural, sugieren tambien </w:t>
      </w:r>
      <w:r w:rsidR="00C33E89">
        <w:rPr>
          <w:bCs/>
        </w:rPr>
        <w:t>que la disponibilid</w:t>
      </w:r>
      <w:r>
        <w:rPr>
          <w:bCs/>
        </w:rPr>
        <w:t>ad de agua real del acuífero es</w:t>
      </w:r>
      <w:r w:rsidR="00C33E89">
        <w:rPr>
          <w:bCs/>
        </w:rPr>
        <w:t xml:space="preserve"> menor que el que se tiene estimado, situación que puede derivar en la sobreexplotación del acuífero.</w:t>
      </w:r>
      <w:r>
        <w:rPr>
          <w:bCs/>
        </w:rPr>
        <w:t xml:space="preserve"> Se considera que la información generada es relevante para el desarrollo sustentable de la cuenca del río Mololoa al conocer las zonas con mayor potencial de recarga hídrica que deben ser conserv</w:t>
      </w:r>
      <w:r w:rsidR="00606CA9">
        <w:rPr>
          <w:bCs/>
        </w:rPr>
        <w:t>adas o en su caso restauradas a partir de un plan de manejo integral de la cuenca.</w:t>
      </w:r>
    </w:p>
    <w:sectPr w:rsidR="0036449E" w:rsidRPr="0036449E" w:rsidSect="00C33E8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89"/>
    <w:rsid w:val="0036449E"/>
    <w:rsid w:val="00383A41"/>
    <w:rsid w:val="00606CA9"/>
    <w:rsid w:val="009F091E"/>
    <w:rsid w:val="00C33E89"/>
    <w:rsid w:val="00E111EF"/>
    <w:rsid w:val="00E6540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6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89"/>
    <w:pPr>
      <w:spacing w:after="200" w:line="276" w:lineRule="auto"/>
      <w:jc w:val="both"/>
    </w:pPr>
    <w:rPr>
      <w:rFonts w:eastAsiaTheme="minorEastAs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3E8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06CA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89"/>
    <w:pPr>
      <w:spacing w:after="200" w:line="276" w:lineRule="auto"/>
      <w:jc w:val="both"/>
    </w:pPr>
    <w:rPr>
      <w:rFonts w:eastAsiaTheme="minorEastAs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3E8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06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yolsi@uan.edu.m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368</Words>
  <Characters>2028</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7</cp:revision>
  <dcterms:created xsi:type="dcterms:W3CDTF">2017-08-24T05:58:00Z</dcterms:created>
  <dcterms:modified xsi:type="dcterms:W3CDTF">2017-08-25T19:09:00Z</dcterms:modified>
</cp:coreProperties>
</file>