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6A262" w14:textId="77777777" w:rsidR="00C57ED8" w:rsidRPr="00A802F5" w:rsidRDefault="00C57ED8" w:rsidP="00825C3A">
      <w:pPr>
        <w:spacing w:after="0"/>
        <w:jc w:val="center"/>
        <w:rPr>
          <w:rFonts w:ascii="Arial" w:hAnsi="Arial" w:cs="Arial"/>
          <w:b/>
          <w:color w:val="0D0D0D" w:themeColor="text1" w:themeTint="F2"/>
          <w:sz w:val="24"/>
          <w:szCs w:val="24"/>
        </w:rPr>
      </w:pPr>
      <w:r w:rsidRPr="00A802F5">
        <w:rPr>
          <w:rFonts w:ascii="Arial" w:hAnsi="Arial" w:cs="Arial"/>
          <w:b/>
          <w:color w:val="0D0D0D" w:themeColor="text1" w:themeTint="F2"/>
          <w:sz w:val="24"/>
          <w:szCs w:val="24"/>
        </w:rPr>
        <w:t>Evaluación de los parámetros de calidad de un remedio herbolario para el tratamiento de enfermedades renales.</w:t>
      </w:r>
    </w:p>
    <w:p w14:paraId="30B05DE6" w14:textId="0D0E6F44" w:rsidR="00C57ED8" w:rsidRPr="00327E14" w:rsidRDefault="00C57ED8" w:rsidP="00825C3A">
      <w:pPr>
        <w:spacing w:before="240"/>
        <w:jc w:val="center"/>
        <w:rPr>
          <w:rFonts w:ascii="Arial" w:eastAsia="Times New Roman" w:hAnsi="Arial" w:cs="Arial"/>
          <w:color w:val="0D0D0D" w:themeColor="text1" w:themeTint="F2"/>
          <w:sz w:val="21"/>
          <w:szCs w:val="24"/>
        </w:rPr>
      </w:pPr>
      <w:r w:rsidRPr="00327E14">
        <w:rPr>
          <w:rFonts w:ascii="Arial" w:eastAsia="Times New Roman" w:hAnsi="Arial" w:cs="Arial"/>
          <w:b/>
          <w:color w:val="0D0D0D" w:themeColor="text1" w:themeTint="F2"/>
          <w:sz w:val="21"/>
          <w:szCs w:val="24"/>
        </w:rPr>
        <w:t>Guadalupe Yáñez Ibarra</w:t>
      </w:r>
      <w:r w:rsidRPr="00327E14">
        <w:rPr>
          <w:rFonts w:ascii="Arial" w:eastAsia="Times New Roman" w:hAnsi="Arial" w:cs="Arial"/>
          <w:b/>
          <w:color w:val="0D0D0D" w:themeColor="text1" w:themeTint="F2"/>
          <w:sz w:val="21"/>
          <w:szCs w:val="24"/>
          <w:vertAlign w:val="superscript"/>
        </w:rPr>
        <w:t>1,3</w:t>
      </w:r>
      <w:r w:rsidRPr="00327E14">
        <w:rPr>
          <w:rFonts w:ascii="Arial" w:eastAsia="Times New Roman" w:hAnsi="Arial" w:cs="Arial"/>
          <w:color w:val="0D0D0D" w:themeColor="text1" w:themeTint="F2"/>
          <w:sz w:val="21"/>
          <w:szCs w:val="24"/>
        </w:rPr>
        <w:t>, M en C. Angélica Nallelhy Rodríguez Ocampo</w:t>
      </w:r>
      <w:r w:rsidRPr="00327E14">
        <w:rPr>
          <w:rFonts w:ascii="Arial" w:eastAsia="Times New Roman" w:hAnsi="Arial" w:cs="Arial"/>
          <w:color w:val="0D0D0D" w:themeColor="text1" w:themeTint="F2"/>
          <w:sz w:val="21"/>
          <w:szCs w:val="24"/>
          <w:vertAlign w:val="superscript"/>
        </w:rPr>
        <w:t>1</w:t>
      </w:r>
      <w:r w:rsidR="00D50E79">
        <w:rPr>
          <w:rFonts w:ascii="Arial" w:eastAsia="Times New Roman" w:hAnsi="Arial" w:cs="Arial"/>
          <w:color w:val="0D0D0D" w:themeColor="text1" w:themeTint="F2"/>
          <w:sz w:val="21"/>
          <w:szCs w:val="24"/>
          <w:vertAlign w:val="superscript"/>
        </w:rPr>
        <w:t>,3</w:t>
      </w:r>
      <w:bookmarkStart w:id="0" w:name="_GoBack"/>
      <w:bookmarkEnd w:id="0"/>
      <w:r w:rsidRPr="00327E14">
        <w:rPr>
          <w:rFonts w:ascii="Arial" w:eastAsia="Times New Roman" w:hAnsi="Arial" w:cs="Arial"/>
          <w:color w:val="0D0D0D" w:themeColor="text1" w:themeTint="F2"/>
          <w:sz w:val="21"/>
          <w:szCs w:val="24"/>
        </w:rPr>
        <w:t>, M en C. Ana María Hanan Alipi</w:t>
      </w:r>
      <w:r w:rsidRPr="00327E14">
        <w:rPr>
          <w:rFonts w:ascii="Arial" w:eastAsia="Times New Roman" w:hAnsi="Arial" w:cs="Arial"/>
          <w:color w:val="0D0D0D" w:themeColor="text1" w:themeTint="F2"/>
          <w:sz w:val="21"/>
          <w:szCs w:val="24"/>
          <w:vertAlign w:val="superscript"/>
        </w:rPr>
        <w:t>2</w:t>
      </w:r>
      <w:r w:rsidRPr="00327E14">
        <w:rPr>
          <w:rFonts w:ascii="Arial" w:eastAsia="Times New Roman" w:hAnsi="Arial" w:cs="Arial"/>
          <w:color w:val="0D0D0D" w:themeColor="text1" w:themeTint="F2"/>
          <w:sz w:val="21"/>
          <w:szCs w:val="24"/>
        </w:rPr>
        <w:t>, Dr. Javier German Rodríguez Carpena</w:t>
      </w:r>
      <w:r w:rsidRPr="00327E14">
        <w:rPr>
          <w:rFonts w:ascii="Arial" w:eastAsia="Times New Roman" w:hAnsi="Arial" w:cs="Arial"/>
          <w:color w:val="0D0D0D" w:themeColor="text1" w:themeTint="F2"/>
          <w:sz w:val="21"/>
          <w:szCs w:val="24"/>
          <w:vertAlign w:val="superscript"/>
        </w:rPr>
        <w:t>3</w:t>
      </w:r>
      <w:r w:rsidRPr="00327E14">
        <w:rPr>
          <w:rFonts w:ascii="Arial" w:eastAsia="Times New Roman" w:hAnsi="Arial" w:cs="Arial"/>
          <w:color w:val="0D0D0D" w:themeColor="text1" w:themeTint="F2"/>
          <w:sz w:val="21"/>
          <w:szCs w:val="24"/>
        </w:rPr>
        <w:t>, Dr. en F. Gabriela María Ávila Villarreal</w:t>
      </w:r>
      <w:r w:rsidRPr="00327E14">
        <w:rPr>
          <w:rFonts w:ascii="Arial" w:eastAsia="Times New Roman" w:hAnsi="Arial" w:cs="Arial"/>
          <w:color w:val="0D0D0D" w:themeColor="text1" w:themeTint="F2"/>
          <w:sz w:val="21"/>
          <w:szCs w:val="24"/>
          <w:vertAlign w:val="superscript"/>
        </w:rPr>
        <w:t>1,3</w:t>
      </w:r>
      <w:r w:rsidRPr="00327E14">
        <w:rPr>
          <w:rFonts w:ascii="Arial" w:eastAsia="Times New Roman" w:hAnsi="Arial" w:cs="Arial"/>
          <w:color w:val="0D0D0D" w:themeColor="text1" w:themeTint="F2"/>
          <w:sz w:val="21"/>
          <w:szCs w:val="24"/>
        </w:rPr>
        <w:t>.</w:t>
      </w:r>
    </w:p>
    <w:p w14:paraId="790F014A" w14:textId="71F4908A" w:rsidR="00C57ED8" w:rsidRPr="00327E14" w:rsidRDefault="00C57ED8" w:rsidP="00884794">
      <w:pPr>
        <w:spacing w:after="0"/>
        <w:jc w:val="both"/>
        <w:rPr>
          <w:rFonts w:ascii="Arial" w:eastAsia="Times New Roman" w:hAnsi="Arial" w:cs="Arial"/>
          <w:color w:val="0D0D0D" w:themeColor="text1" w:themeTint="F2"/>
          <w:sz w:val="21"/>
          <w:szCs w:val="24"/>
        </w:rPr>
      </w:pPr>
      <w:r w:rsidRPr="00327E14">
        <w:rPr>
          <w:rFonts w:ascii="Arial" w:eastAsia="Times New Roman" w:hAnsi="Arial" w:cs="Arial"/>
          <w:color w:val="0D0D0D" w:themeColor="text1" w:themeTint="F2"/>
          <w:sz w:val="21"/>
          <w:szCs w:val="24"/>
          <w:vertAlign w:val="superscript"/>
        </w:rPr>
        <w:t>1</w:t>
      </w:r>
      <w:r w:rsidRPr="00327E14">
        <w:rPr>
          <w:rFonts w:ascii="Arial" w:eastAsia="Times New Roman" w:hAnsi="Arial" w:cs="Arial"/>
          <w:color w:val="0D0D0D" w:themeColor="text1" w:themeTint="F2"/>
          <w:sz w:val="21"/>
          <w:szCs w:val="24"/>
        </w:rPr>
        <w:t xml:space="preserve">Unidad Académica de Ciencias Químico Biológicas y Farmacéuticas, </w:t>
      </w:r>
      <w:r w:rsidRPr="00327E14">
        <w:rPr>
          <w:rFonts w:ascii="Arial" w:eastAsia="Times New Roman" w:hAnsi="Arial" w:cs="Arial"/>
          <w:color w:val="0D0D0D" w:themeColor="text1" w:themeTint="F2"/>
          <w:sz w:val="21"/>
          <w:szCs w:val="24"/>
          <w:vertAlign w:val="superscript"/>
        </w:rPr>
        <w:t>2</w:t>
      </w:r>
      <w:r w:rsidRPr="00327E14">
        <w:rPr>
          <w:rFonts w:ascii="Arial" w:eastAsia="Times New Roman" w:hAnsi="Arial" w:cs="Arial"/>
          <w:color w:val="0D0D0D" w:themeColor="text1" w:themeTint="F2"/>
          <w:sz w:val="21"/>
          <w:szCs w:val="24"/>
        </w:rPr>
        <w:t>Unidad Académica de Agricultura,</w:t>
      </w:r>
      <w:r w:rsidRPr="00327E14">
        <w:rPr>
          <w:rFonts w:ascii="Arial" w:eastAsia="Times New Roman" w:hAnsi="Arial" w:cs="Arial"/>
          <w:color w:val="0D0D0D" w:themeColor="text1" w:themeTint="F2"/>
          <w:sz w:val="21"/>
          <w:szCs w:val="24"/>
          <w:vertAlign w:val="superscript"/>
        </w:rPr>
        <w:t xml:space="preserve"> 3</w:t>
      </w:r>
      <w:r w:rsidRPr="00327E14">
        <w:rPr>
          <w:rFonts w:ascii="Arial" w:eastAsia="Times New Roman" w:hAnsi="Arial" w:cs="Arial"/>
          <w:color w:val="0D0D0D" w:themeColor="text1" w:themeTint="F2"/>
          <w:sz w:val="21"/>
          <w:szCs w:val="24"/>
        </w:rPr>
        <w:t>Unidad Especializada en I+D+</w:t>
      </w:r>
      <w:r w:rsidRPr="00327E14">
        <w:rPr>
          <w:rFonts w:ascii="Arial" w:eastAsia="Times New Roman" w:hAnsi="Arial" w:cs="Arial"/>
          <w:i/>
          <w:color w:val="0D0D0D" w:themeColor="text1" w:themeTint="F2"/>
          <w:sz w:val="21"/>
          <w:szCs w:val="24"/>
        </w:rPr>
        <w:t>i</w:t>
      </w:r>
      <w:r w:rsidRPr="00327E14">
        <w:rPr>
          <w:rFonts w:ascii="Arial" w:eastAsia="Times New Roman" w:hAnsi="Arial" w:cs="Arial"/>
          <w:color w:val="0D0D0D" w:themeColor="text1" w:themeTint="F2"/>
          <w:sz w:val="21"/>
          <w:szCs w:val="24"/>
        </w:rPr>
        <w:t xml:space="preserve"> en Calidad de </w:t>
      </w:r>
      <w:r w:rsidR="003C3C16">
        <w:rPr>
          <w:rFonts w:ascii="Arial" w:eastAsia="Times New Roman" w:hAnsi="Arial" w:cs="Arial"/>
          <w:color w:val="0D0D0D" w:themeColor="text1" w:themeTint="F2"/>
          <w:sz w:val="21"/>
          <w:szCs w:val="24"/>
        </w:rPr>
        <w:t>Alimentos y Productos Naturales-</w:t>
      </w:r>
      <w:r w:rsidRPr="00327E14">
        <w:rPr>
          <w:rFonts w:ascii="Arial" w:eastAsia="Times New Roman" w:hAnsi="Arial" w:cs="Arial"/>
          <w:color w:val="0D0D0D" w:themeColor="text1" w:themeTint="F2"/>
          <w:sz w:val="21"/>
          <w:szCs w:val="24"/>
        </w:rPr>
        <w:t>CENiT</w:t>
      </w:r>
      <w:r w:rsidRPr="00327E14">
        <w:rPr>
          <w:rFonts w:ascii="Arial" w:eastAsia="Times New Roman" w:hAnsi="Arial" w:cs="Arial"/>
          <w:color w:val="0D0D0D" w:themeColor="text1" w:themeTint="F2"/>
          <w:sz w:val="21"/>
          <w:szCs w:val="24"/>
          <w:vertAlign w:val="superscript"/>
        </w:rPr>
        <w:t>2</w:t>
      </w:r>
      <w:r w:rsidRPr="00327E14">
        <w:rPr>
          <w:rFonts w:ascii="Arial" w:eastAsia="Times New Roman" w:hAnsi="Arial" w:cs="Arial"/>
          <w:color w:val="0D0D0D" w:themeColor="text1" w:themeTint="F2"/>
          <w:sz w:val="21"/>
          <w:szCs w:val="24"/>
        </w:rPr>
        <w:t>, Universidad Autónoma de Nayarit.</w:t>
      </w:r>
    </w:p>
    <w:p w14:paraId="4FB171B0" w14:textId="77777777" w:rsidR="00C57ED8" w:rsidRPr="00F1765D" w:rsidRDefault="00C57ED8" w:rsidP="00825C3A">
      <w:pPr>
        <w:spacing w:before="240"/>
        <w:jc w:val="right"/>
        <w:rPr>
          <w:rFonts w:ascii="Arial" w:eastAsia="Times New Roman" w:hAnsi="Arial" w:cs="Arial"/>
          <w:color w:val="0D0D0D" w:themeColor="text1" w:themeTint="F2"/>
          <w:sz w:val="21"/>
          <w:szCs w:val="24"/>
        </w:rPr>
      </w:pPr>
      <w:r w:rsidRPr="00F1765D">
        <w:rPr>
          <w:rFonts w:ascii="Arial" w:eastAsia="Times New Roman" w:hAnsi="Arial" w:cs="Arial"/>
          <w:color w:val="0D0D0D" w:themeColor="text1" w:themeTint="F2"/>
          <w:sz w:val="21"/>
          <w:szCs w:val="24"/>
        </w:rPr>
        <w:t>gpe.yanez12@uan.edu.mx</w:t>
      </w:r>
    </w:p>
    <w:p w14:paraId="2C7C9385" w14:textId="77777777" w:rsidR="0095518B" w:rsidRPr="00A802F5" w:rsidRDefault="0095518B" w:rsidP="00825C3A">
      <w:pPr>
        <w:autoSpaceDE w:val="0"/>
        <w:autoSpaceDN w:val="0"/>
        <w:adjustRightInd w:val="0"/>
        <w:spacing w:after="0"/>
        <w:rPr>
          <w:rFonts w:ascii="Arial" w:hAnsi="Arial" w:cs="Arial"/>
          <w:color w:val="0D0D0D" w:themeColor="text1" w:themeTint="F2"/>
          <w:sz w:val="24"/>
          <w:szCs w:val="24"/>
        </w:rPr>
      </w:pPr>
    </w:p>
    <w:p w14:paraId="4234136F" w14:textId="77777777" w:rsidR="0095518B" w:rsidRPr="00A802F5" w:rsidRDefault="00C57ED8" w:rsidP="0095518B">
      <w:pPr>
        <w:autoSpaceDE w:val="0"/>
        <w:autoSpaceDN w:val="0"/>
        <w:adjustRightInd w:val="0"/>
        <w:spacing w:after="0"/>
        <w:jc w:val="both"/>
        <w:rPr>
          <w:rFonts w:ascii="Arial" w:hAnsi="Arial" w:cs="Arial"/>
          <w:color w:val="0D0D0D" w:themeColor="text1" w:themeTint="F2"/>
          <w:sz w:val="24"/>
          <w:szCs w:val="24"/>
        </w:rPr>
      </w:pPr>
      <w:r w:rsidRPr="00A802F5">
        <w:rPr>
          <w:rFonts w:ascii="Arial" w:hAnsi="Arial" w:cs="Arial"/>
          <w:color w:val="0D0D0D" w:themeColor="text1" w:themeTint="F2"/>
          <w:sz w:val="24"/>
          <w:szCs w:val="24"/>
        </w:rPr>
        <w:t>Resumen</w:t>
      </w:r>
    </w:p>
    <w:p w14:paraId="62DA530D" w14:textId="77777777" w:rsidR="0095518B" w:rsidRPr="00A802F5" w:rsidRDefault="0095518B" w:rsidP="0095518B">
      <w:pPr>
        <w:autoSpaceDE w:val="0"/>
        <w:autoSpaceDN w:val="0"/>
        <w:adjustRightInd w:val="0"/>
        <w:spacing w:after="0"/>
        <w:jc w:val="both"/>
        <w:rPr>
          <w:rFonts w:ascii="Arial" w:hAnsi="Arial" w:cs="Arial"/>
          <w:color w:val="0D0D0D" w:themeColor="text1" w:themeTint="F2"/>
          <w:sz w:val="24"/>
          <w:szCs w:val="24"/>
        </w:rPr>
      </w:pPr>
    </w:p>
    <w:p w14:paraId="6CB10FBB" w14:textId="2B023EFB" w:rsidR="0095518B" w:rsidRPr="00A802F5" w:rsidRDefault="0095518B" w:rsidP="0095518B">
      <w:pPr>
        <w:autoSpaceDE w:val="0"/>
        <w:autoSpaceDN w:val="0"/>
        <w:adjustRightInd w:val="0"/>
        <w:spacing w:after="0"/>
        <w:jc w:val="both"/>
        <w:rPr>
          <w:rFonts w:ascii="Arial" w:hAnsi="Arial" w:cs="Arial"/>
          <w:color w:val="0D0D0D" w:themeColor="text1" w:themeTint="F2"/>
          <w:sz w:val="24"/>
          <w:szCs w:val="24"/>
        </w:rPr>
      </w:pPr>
      <w:r w:rsidRPr="00A802F5">
        <w:rPr>
          <w:rFonts w:ascii="Arial" w:hAnsi="Arial" w:cs="Arial"/>
          <w:color w:val="0D0D0D" w:themeColor="text1" w:themeTint="F2"/>
          <w:sz w:val="24"/>
          <w:szCs w:val="24"/>
        </w:rPr>
        <w:t>Como se sabe, la medicina moderna está bien desarrollada en la mayor parte del mundo, en algunos sectores de la población principalmente en los países en desarrollo estos dependen de las plantas medicinales y los medicamentos herbolarios para su atención primaria,</w:t>
      </w:r>
      <w:r w:rsidR="00A802F5" w:rsidRPr="00A802F5">
        <w:rPr>
          <w:rFonts w:ascii="Arial" w:hAnsi="Arial" w:cs="Arial"/>
          <w:color w:val="0D0D0D" w:themeColor="text1" w:themeTint="F2"/>
          <w:sz w:val="24"/>
          <w:szCs w:val="24"/>
        </w:rPr>
        <w:t xml:space="preserve"> p</w:t>
      </w:r>
      <w:r w:rsidRPr="00A802F5">
        <w:rPr>
          <w:rFonts w:ascii="Arial" w:hAnsi="Arial" w:cs="Arial"/>
          <w:color w:val="0D0D0D" w:themeColor="text1" w:themeTint="F2"/>
          <w:sz w:val="24"/>
          <w:szCs w:val="24"/>
        </w:rPr>
        <w:t xml:space="preserve">or lo que, </w:t>
      </w:r>
      <w:r w:rsidR="00884794">
        <w:rPr>
          <w:rFonts w:ascii="Arial" w:hAnsi="Arial" w:cs="Arial"/>
          <w:color w:val="0D0D0D" w:themeColor="text1" w:themeTint="F2"/>
          <w:sz w:val="24"/>
          <w:szCs w:val="24"/>
        </w:rPr>
        <w:t>garantizar</w:t>
      </w:r>
      <w:r w:rsidR="0064340B">
        <w:rPr>
          <w:rFonts w:ascii="Arial" w:hAnsi="Arial" w:cs="Arial"/>
          <w:color w:val="0D0D0D" w:themeColor="text1" w:themeTint="F2"/>
          <w:sz w:val="24"/>
          <w:szCs w:val="24"/>
        </w:rPr>
        <w:t xml:space="preserve"> la calidad de estos productos </w:t>
      </w:r>
      <w:r w:rsidR="00884794">
        <w:rPr>
          <w:rFonts w:ascii="Arial" w:hAnsi="Arial" w:cs="Arial"/>
          <w:color w:val="0D0D0D" w:themeColor="text1" w:themeTint="F2"/>
          <w:sz w:val="24"/>
          <w:szCs w:val="24"/>
        </w:rPr>
        <w:t xml:space="preserve">evaluando su inocuidad y </w:t>
      </w:r>
      <w:r w:rsidRPr="00A802F5">
        <w:rPr>
          <w:rFonts w:ascii="Arial" w:hAnsi="Arial" w:cs="Arial"/>
          <w:color w:val="0D0D0D" w:themeColor="text1" w:themeTint="F2"/>
          <w:sz w:val="24"/>
          <w:szCs w:val="24"/>
        </w:rPr>
        <w:t xml:space="preserve">eficacia </w:t>
      </w:r>
      <w:r w:rsidR="00884794">
        <w:rPr>
          <w:rFonts w:ascii="Arial" w:hAnsi="Arial" w:cs="Arial"/>
          <w:color w:val="0D0D0D" w:themeColor="text1" w:themeTint="F2"/>
          <w:sz w:val="24"/>
          <w:szCs w:val="24"/>
        </w:rPr>
        <w:t xml:space="preserve">es fundamental. </w:t>
      </w:r>
    </w:p>
    <w:p w14:paraId="50709FFA" w14:textId="6AE817EE" w:rsidR="00C57ED8" w:rsidRPr="00884794" w:rsidRDefault="0095518B" w:rsidP="00825C3A">
      <w:pPr>
        <w:spacing w:before="240"/>
        <w:jc w:val="both"/>
        <w:rPr>
          <w:rFonts w:ascii="Arial" w:eastAsia="Arial" w:hAnsi="Arial" w:cs="Arial"/>
          <w:color w:val="0D0D0D" w:themeColor="text1" w:themeTint="F2"/>
          <w:sz w:val="24"/>
          <w:szCs w:val="24"/>
        </w:rPr>
      </w:pPr>
      <w:r w:rsidRPr="00A802F5">
        <w:rPr>
          <w:rFonts w:ascii="Arial" w:hAnsi="Arial" w:cs="Arial"/>
          <w:color w:val="0D0D0D" w:themeColor="text1" w:themeTint="F2"/>
          <w:sz w:val="24"/>
          <w:szCs w:val="24"/>
        </w:rPr>
        <w:t>L</w:t>
      </w:r>
      <w:r w:rsidR="00884794">
        <w:rPr>
          <w:rFonts w:ascii="Arial" w:hAnsi="Arial" w:cs="Arial"/>
          <w:color w:val="0D0D0D" w:themeColor="text1" w:themeTint="F2"/>
          <w:sz w:val="24"/>
          <w:szCs w:val="24"/>
        </w:rPr>
        <w:t xml:space="preserve">a legislación internacional sobre la reguación de </w:t>
      </w:r>
      <w:r w:rsidRPr="00A802F5">
        <w:rPr>
          <w:rFonts w:ascii="Arial" w:hAnsi="Arial" w:cs="Arial"/>
          <w:color w:val="0D0D0D" w:themeColor="text1" w:themeTint="F2"/>
          <w:sz w:val="24"/>
          <w:szCs w:val="24"/>
        </w:rPr>
        <w:t xml:space="preserve">plantas medicinales </w:t>
      </w:r>
      <w:r w:rsidR="00884794">
        <w:rPr>
          <w:rFonts w:ascii="Arial" w:hAnsi="Arial" w:cs="Arial"/>
          <w:color w:val="0D0D0D" w:themeColor="text1" w:themeTint="F2"/>
          <w:sz w:val="24"/>
          <w:szCs w:val="24"/>
        </w:rPr>
        <w:t>esta en desarrollo tratando de implementar un</w:t>
      </w:r>
      <w:r w:rsidR="00A802F5" w:rsidRPr="00A802F5">
        <w:rPr>
          <w:rFonts w:ascii="Arial" w:hAnsi="Arial" w:cs="Arial"/>
          <w:color w:val="0D0D0D" w:themeColor="text1" w:themeTint="F2"/>
          <w:sz w:val="24"/>
          <w:szCs w:val="24"/>
        </w:rPr>
        <w:t xml:space="preserve"> modelo </w:t>
      </w:r>
      <w:r w:rsidR="00884794">
        <w:rPr>
          <w:rFonts w:ascii="Arial" w:hAnsi="Arial" w:cs="Arial"/>
          <w:color w:val="0D0D0D" w:themeColor="text1" w:themeTint="F2"/>
          <w:sz w:val="24"/>
          <w:szCs w:val="24"/>
        </w:rPr>
        <w:t>adecuado</w:t>
      </w:r>
      <w:r w:rsidR="00A802F5" w:rsidRPr="00A802F5">
        <w:rPr>
          <w:rFonts w:ascii="Arial" w:hAnsi="Arial" w:cs="Arial"/>
          <w:color w:val="0D0D0D" w:themeColor="text1" w:themeTint="F2"/>
          <w:sz w:val="24"/>
          <w:szCs w:val="24"/>
        </w:rPr>
        <w:t xml:space="preserve"> de control</w:t>
      </w:r>
      <w:r w:rsidRPr="00A802F5">
        <w:rPr>
          <w:rFonts w:ascii="Arial" w:hAnsi="Arial" w:cs="Arial"/>
          <w:color w:val="0D0D0D" w:themeColor="text1" w:themeTint="F2"/>
          <w:sz w:val="24"/>
          <w:szCs w:val="24"/>
        </w:rPr>
        <w:t>.</w:t>
      </w:r>
      <w:r w:rsidR="00884794">
        <w:rPr>
          <w:rFonts w:ascii="Arial" w:eastAsia="Arial" w:hAnsi="Arial" w:cs="Arial"/>
          <w:color w:val="0D0D0D" w:themeColor="text1" w:themeTint="F2"/>
          <w:sz w:val="24"/>
          <w:szCs w:val="24"/>
        </w:rPr>
        <w:t xml:space="preserve"> </w:t>
      </w:r>
      <w:r w:rsidR="00C57ED8" w:rsidRPr="00A802F5">
        <w:rPr>
          <w:rFonts w:ascii="Arial" w:eastAsia="Arial" w:hAnsi="Arial" w:cs="Arial"/>
          <w:color w:val="0D0D0D" w:themeColor="text1" w:themeTint="F2"/>
          <w:sz w:val="24"/>
          <w:szCs w:val="24"/>
        </w:rPr>
        <w:t>El objetivo del</w:t>
      </w:r>
      <w:r w:rsidR="00884794">
        <w:rPr>
          <w:rFonts w:ascii="Arial" w:eastAsia="Arial" w:hAnsi="Arial" w:cs="Arial"/>
          <w:color w:val="0D0D0D" w:themeColor="text1" w:themeTint="F2"/>
          <w:sz w:val="24"/>
          <w:szCs w:val="24"/>
        </w:rPr>
        <w:t xml:space="preserve"> presente</w:t>
      </w:r>
      <w:r w:rsidR="00C57ED8" w:rsidRPr="00A802F5">
        <w:rPr>
          <w:rFonts w:ascii="Arial" w:eastAsia="Arial" w:hAnsi="Arial" w:cs="Arial"/>
          <w:color w:val="0D0D0D" w:themeColor="text1" w:themeTint="F2"/>
          <w:sz w:val="24"/>
          <w:szCs w:val="24"/>
        </w:rPr>
        <w:t xml:space="preserve"> trabajo </w:t>
      </w:r>
      <w:r w:rsidR="00884794">
        <w:rPr>
          <w:rFonts w:ascii="Arial" w:eastAsia="Arial" w:hAnsi="Arial" w:cs="Arial"/>
          <w:color w:val="0D0D0D" w:themeColor="text1" w:themeTint="F2"/>
          <w:sz w:val="24"/>
          <w:szCs w:val="24"/>
        </w:rPr>
        <w:t xml:space="preserve">fue </w:t>
      </w:r>
      <w:r w:rsidR="00C57ED8" w:rsidRPr="00A802F5">
        <w:rPr>
          <w:rFonts w:ascii="Arial" w:eastAsia="Arial" w:hAnsi="Arial" w:cs="Arial"/>
          <w:color w:val="0D0D0D" w:themeColor="text1" w:themeTint="F2"/>
          <w:sz w:val="24"/>
          <w:szCs w:val="24"/>
        </w:rPr>
        <w:t>realizar un ensayo de control de calidad para un remedio herbolario (RH) comercial conforme a lo establecido en la NOM-073-SSA1-2015, estabilidad de fármacos y medicamentos, así como de remedios herbolarios; evaluando estabilidad a condición intermedia y a largo plazo almacenándolas a condiciones de 30ºC ± 2ºC /65% HR ± 5%, y con una frecuencia de análisis de 0, 3, 6, 9 y 12 meses.</w:t>
      </w:r>
    </w:p>
    <w:p w14:paraId="0BB60966" w14:textId="689117E3" w:rsidR="00C57ED8" w:rsidRPr="00A802F5" w:rsidRDefault="00884794" w:rsidP="00C96DA4">
      <w:pPr>
        <w:autoSpaceDE w:val="0"/>
        <w:autoSpaceDN w:val="0"/>
        <w:adjustRightInd w:val="0"/>
        <w:spacing w:after="0"/>
        <w:jc w:val="both"/>
        <w:rPr>
          <w:rFonts w:ascii="Arial" w:hAnsi="Arial" w:cs="Arial"/>
          <w:color w:val="0D0D0D" w:themeColor="text1" w:themeTint="F2"/>
          <w:sz w:val="24"/>
          <w:szCs w:val="24"/>
        </w:rPr>
      </w:pPr>
      <w:r w:rsidRPr="00A802F5">
        <w:rPr>
          <w:rFonts w:ascii="Arial" w:hAnsi="Arial" w:cs="Arial"/>
          <w:color w:val="0D0D0D" w:themeColor="text1" w:themeTint="F2"/>
          <w:sz w:val="24"/>
          <w:szCs w:val="24"/>
        </w:rPr>
        <w:t>Se dispone de datos sobre la seguridad y la eficacia de un número aún menor de plantas, sus extractos y principios activos y las preparaciones que las contienen.</w:t>
      </w:r>
    </w:p>
    <w:p w14:paraId="0770191F" w14:textId="77777777" w:rsidR="00A802F5" w:rsidRPr="00A802F5" w:rsidRDefault="00A802F5" w:rsidP="00C96DA4">
      <w:pPr>
        <w:autoSpaceDE w:val="0"/>
        <w:autoSpaceDN w:val="0"/>
        <w:adjustRightInd w:val="0"/>
        <w:spacing w:after="0"/>
        <w:rPr>
          <w:rFonts w:ascii="Arial" w:hAnsi="Arial" w:cs="Arial"/>
          <w:color w:val="0D0D0D" w:themeColor="text1" w:themeTint="F2"/>
          <w:sz w:val="24"/>
          <w:szCs w:val="24"/>
        </w:rPr>
      </w:pPr>
    </w:p>
    <w:p w14:paraId="72807647" w14:textId="77777777" w:rsidR="00C57ED8" w:rsidRPr="00A802F5" w:rsidRDefault="00CE2D87" w:rsidP="00825C3A">
      <w:pPr>
        <w:pStyle w:val="Prrafodelista"/>
        <w:numPr>
          <w:ilvl w:val="0"/>
          <w:numId w:val="1"/>
        </w:numPr>
        <w:autoSpaceDE w:val="0"/>
        <w:autoSpaceDN w:val="0"/>
        <w:adjustRightInd w:val="0"/>
        <w:spacing w:after="0"/>
        <w:rPr>
          <w:rFonts w:ascii="Arial" w:hAnsi="Arial" w:cs="Arial"/>
          <w:b/>
          <w:color w:val="0D0D0D" w:themeColor="text1" w:themeTint="F2"/>
          <w:sz w:val="24"/>
          <w:szCs w:val="24"/>
        </w:rPr>
      </w:pPr>
      <w:r w:rsidRPr="00A802F5">
        <w:rPr>
          <w:rFonts w:ascii="Arial" w:hAnsi="Arial" w:cs="Arial"/>
          <w:b/>
          <w:color w:val="0D0D0D" w:themeColor="text1" w:themeTint="F2"/>
          <w:sz w:val="24"/>
          <w:szCs w:val="24"/>
        </w:rPr>
        <w:t>Introducción</w:t>
      </w:r>
      <w:r w:rsidR="00C57ED8" w:rsidRPr="00A802F5">
        <w:rPr>
          <w:rFonts w:ascii="Arial" w:hAnsi="Arial" w:cs="Arial"/>
          <w:b/>
          <w:color w:val="0D0D0D" w:themeColor="text1" w:themeTint="F2"/>
          <w:sz w:val="24"/>
          <w:szCs w:val="24"/>
        </w:rPr>
        <w:t>.</w:t>
      </w:r>
    </w:p>
    <w:p w14:paraId="45466E97" w14:textId="77777777" w:rsidR="00CE2D87" w:rsidRPr="00A802F5" w:rsidRDefault="00CE2D87" w:rsidP="00825C3A">
      <w:pPr>
        <w:autoSpaceDE w:val="0"/>
        <w:autoSpaceDN w:val="0"/>
        <w:adjustRightInd w:val="0"/>
        <w:spacing w:after="0"/>
        <w:rPr>
          <w:rFonts w:ascii="Arial" w:hAnsi="Arial" w:cs="Arial"/>
          <w:color w:val="0D0D0D" w:themeColor="text1" w:themeTint="F2"/>
          <w:sz w:val="24"/>
          <w:szCs w:val="24"/>
        </w:rPr>
      </w:pPr>
      <w:r w:rsidRPr="00A802F5">
        <w:rPr>
          <w:rFonts w:ascii="Arial" w:eastAsia="Arial" w:hAnsi="Arial" w:cs="Arial"/>
          <w:color w:val="0D0D0D" w:themeColor="text1" w:themeTint="F2"/>
          <w:sz w:val="24"/>
          <w:szCs w:val="24"/>
          <w:lang w:val="es-ES_tradnl"/>
        </w:rPr>
        <w:t xml:space="preserve">    </w:t>
      </w:r>
    </w:p>
    <w:p w14:paraId="3A0D66CE" w14:textId="78E6A013" w:rsidR="00CE2D87" w:rsidRPr="00A802F5" w:rsidRDefault="00CE2D87" w:rsidP="00825C3A">
      <w:pPr>
        <w:jc w:val="both"/>
        <w:rPr>
          <w:rFonts w:ascii="Arial" w:eastAsia="Arial" w:hAnsi="Arial" w:cs="Arial"/>
          <w:color w:val="0D0D0D" w:themeColor="text1" w:themeTint="F2"/>
          <w:sz w:val="24"/>
          <w:szCs w:val="24"/>
          <w:lang w:val="es-ES_tradnl"/>
        </w:rPr>
      </w:pPr>
      <w:r w:rsidRPr="00A802F5">
        <w:rPr>
          <w:rFonts w:ascii="Arial" w:eastAsia="Arial" w:hAnsi="Arial" w:cs="Arial"/>
          <w:color w:val="0D0D0D" w:themeColor="text1" w:themeTint="F2"/>
          <w:sz w:val="24"/>
          <w:szCs w:val="24"/>
        </w:rPr>
        <w:t xml:space="preserve">La utilización de plantas medicinales, es una de las terapias </w:t>
      </w:r>
      <w:r w:rsidR="00BF5173">
        <w:rPr>
          <w:rFonts w:ascii="Arial" w:eastAsia="Arial" w:hAnsi="Arial" w:cs="Arial"/>
          <w:color w:val="0D0D0D" w:themeColor="text1" w:themeTint="F2"/>
          <w:sz w:val="24"/>
          <w:szCs w:val="24"/>
        </w:rPr>
        <w:t xml:space="preserve">complementarias </w:t>
      </w:r>
      <w:r w:rsidRPr="00A802F5">
        <w:rPr>
          <w:rFonts w:ascii="Arial" w:eastAsia="Arial" w:hAnsi="Arial" w:cs="Arial"/>
          <w:color w:val="0D0D0D" w:themeColor="text1" w:themeTint="F2"/>
          <w:sz w:val="24"/>
          <w:szCs w:val="24"/>
        </w:rPr>
        <w:t xml:space="preserve">más ampliamente usadas en el mundo; por lo que durante miles de años éstas han sido utilizadas con fines terapéuticos, dando origen a la medicina tradicional </w:t>
      </w:r>
      <w:r w:rsidRPr="00A802F5">
        <w:rPr>
          <w:rFonts w:ascii="Arial" w:eastAsia="Arial" w:hAnsi="Arial" w:cs="Arial"/>
          <w:color w:val="0D0D0D" w:themeColor="text1" w:themeTint="F2"/>
          <w:sz w:val="24"/>
          <w:szCs w:val="24"/>
          <w:lang w:val="es-ES_tradnl"/>
        </w:rPr>
        <w:t>(MT) (</w:t>
      </w:r>
      <w:r w:rsidRPr="00A802F5">
        <w:rPr>
          <w:rFonts w:ascii="Arial" w:hAnsi="Arial" w:cs="Arial"/>
          <w:color w:val="0D0D0D" w:themeColor="text1" w:themeTint="F2"/>
          <w:sz w:val="24"/>
          <w:szCs w:val="24"/>
        </w:rPr>
        <w:t>Duke, 1991</w:t>
      </w:r>
      <w:r w:rsidRPr="00A802F5">
        <w:rPr>
          <w:rFonts w:ascii="Arial" w:eastAsia="Arial" w:hAnsi="Arial" w:cs="Arial"/>
          <w:color w:val="0D0D0D" w:themeColor="text1" w:themeTint="F2"/>
          <w:sz w:val="24"/>
          <w:szCs w:val="24"/>
          <w:lang w:val="es-ES_tradnl"/>
        </w:rPr>
        <w:t>)</w:t>
      </w:r>
      <w:r w:rsidRPr="00A802F5">
        <w:rPr>
          <w:rFonts w:ascii="Arial" w:eastAsia="Arial" w:hAnsi="Arial" w:cs="Arial"/>
          <w:color w:val="0D0D0D" w:themeColor="text1" w:themeTint="F2"/>
          <w:sz w:val="24"/>
          <w:szCs w:val="24"/>
        </w:rPr>
        <w:t>.</w:t>
      </w:r>
      <w:r w:rsidRPr="00A802F5">
        <w:rPr>
          <w:rFonts w:ascii="Arial" w:hAnsi="Arial" w:cs="Arial"/>
          <w:color w:val="0D0D0D" w:themeColor="text1" w:themeTint="F2"/>
          <w:sz w:val="24"/>
          <w:szCs w:val="24"/>
        </w:rPr>
        <w:t xml:space="preserve"> La </w:t>
      </w:r>
      <w:r w:rsidRPr="00A802F5">
        <w:rPr>
          <w:rFonts w:ascii="Arial" w:eastAsia="Arial" w:hAnsi="Arial" w:cs="Arial"/>
          <w:color w:val="0D0D0D" w:themeColor="text1" w:themeTint="F2"/>
          <w:sz w:val="24"/>
          <w:szCs w:val="24"/>
          <w:lang w:val="es-ES_tradnl"/>
        </w:rPr>
        <w:t>MT es definida por la Organización Mundial de la Salud (OMS)  como todo el conjunto de conocimientos, aptitudes y prácticas basados en teorías, creencias y experiencias indígenas de las diferentes culturas, sean o no explicables, usados para el mantenimiento de la salud, así como para la prevención, el diagnóstico, la mejora o el tratamiento de enfermedades físicas o mentales (</w:t>
      </w:r>
      <w:r w:rsidRPr="00A802F5">
        <w:rPr>
          <w:rFonts w:ascii="Arial" w:eastAsia="Times New Roman" w:hAnsi="Arial" w:cs="Arial"/>
          <w:color w:val="0D0D0D" w:themeColor="text1" w:themeTint="F2"/>
          <w:sz w:val="24"/>
          <w:szCs w:val="24"/>
        </w:rPr>
        <w:t>OMS, 2017</w:t>
      </w:r>
      <w:r w:rsidRPr="00A802F5">
        <w:rPr>
          <w:rFonts w:ascii="Arial" w:eastAsia="Arial" w:hAnsi="Arial" w:cs="Arial"/>
          <w:color w:val="0D0D0D" w:themeColor="text1" w:themeTint="F2"/>
          <w:sz w:val="24"/>
          <w:szCs w:val="24"/>
          <w:lang w:val="es-ES_tradnl"/>
        </w:rPr>
        <w:t xml:space="preserve">), siendo utilizada para tratar una gran variedad de enfermedades incluyendo a las enfermedades renales. </w:t>
      </w:r>
    </w:p>
    <w:p w14:paraId="2F2DBF69" w14:textId="77777777" w:rsidR="00CE2D87" w:rsidRPr="00A802F5" w:rsidRDefault="00CE2D87" w:rsidP="00825C3A">
      <w:pPr>
        <w:jc w:val="both"/>
        <w:rPr>
          <w:rFonts w:ascii="Arial" w:hAnsi="Arial" w:cs="Arial"/>
          <w:color w:val="0D0D0D" w:themeColor="text1" w:themeTint="F2"/>
          <w:sz w:val="24"/>
          <w:szCs w:val="24"/>
        </w:rPr>
      </w:pPr>
      <w:r w:rsidRPr="00A802F5">
        <w:rPr>
          <w:rFonts w:ascii="Arial" w:hAnsi="Arial" w:cs="Arial"/>
          <w:color w:val="0D0D0D" w:themeColor="text1" w:themeTint="F2"/>
          <w:sz w:val="24"/>
          <w:szCs w:val="24"/>
          <w:lang w:val="es-ES_tradnl"/>
        </w:rPr>
        <w:lastRenderedPageBreak/>
        <w:t xml:space="preserve">De acuerdo al Reporte de Salud Mundial de la OMS y al proyecto de Carga Global de la Enfermedad, las enfermedades renales y del tracto urinario contribuyen con aproximadamente 850,000 muertes cada año </w:t>
      </w:r>
      <w:r w:rsidRPr="00A802F5">
        <w:rPr>
          <w:rFonts w:ascii="Arial" w:eastAsia="Arial" w:hAnsi="Arial" w:cs="Arial"/>
          <w:color w:val="0D0D0D" w:themeColor="text1" w:themeTint="F2"/>
          <w:sz w:val="24"/>
          <w:szCs w:val="24"/>
          <w:lang w:val="es-ES_tradnl"/>
        </w:rPr>
        <w:t>(</w:t>
      </w:r>
      <w:r w:rsidRPr="00A802F5">
        <w:rPr>
          <w:rFonts w:ascii="Arial" w:eastAsia="Times New Roman" w:hAnsi="Arial" w:cs="Arial"/>
          <w:color w:val="0D0D0D" w:themeColor="text1" w:themeTint="F2"/>
          <w:sz w:val="24"/>
          <w:szCs w:val="24"/>
        </w:rPr>
        <w:t>Schieppati, 2005</w:t>
      </w:r>
      <w:r w:rsidRPr="00A802F5">
        <w:rPr>
          <w:rFonts w:ascii="Arial" w:eastAsia="Arial" w:hAnsi="Arial" w:cs="Arial"/>
          <w:color w:val="0D0D0D" w:themeColor="text1" w:themeTint="F2"/>
          <w:sz w:val="24"/>
          <w:szCs w:val="24"/>
          <w:lang w:val="es-ES_tradnl"/>
        </w:rPr>
        <w:t>)</w:t>
      </w:r>
      <w:r w:rsidRPr="00A802F5">
        <w:rPr>
          <w:rFonts w:ascii="Arial" w:hAnsi="Arial" w:cs="Arial"/>
          <w:color w:val="0D0D0D" w:themeColor="text1" w:themeTint="F2"/>
          <w:sz w:val="24"/>
          <w:szCs w:val="24"/>
          <w:lang w:val="es-ES_tradnl"/>
        </w:rPr>
        <w:t xml:space="preserve">. Las cifras </w:t>
      </w:r>
      <w:r w:rsidRPr="00A802F5">
        <w:rPr>
          <w:rFonts w:ascii="Arial" w:hAnsi="Arial" w:cs="Arial"/>
          <w:color w:val="0D0D0D" w:themeColor="text1" w:themeTint="F2"/>
          <w:sz w:val="24"/>
          <w:szCs w:val="24"/>
        </w:rPr>
        <w:t>reportadas recientemente por la </w:t>
      </w:r>
      <w:r w:rsidRPr="00A802F5">
        <w:rPr>
          <w:rStyle w:val="Textoennegrita"/>
          <w:rFonts w:ascii="Arial" w:hAnsi="Arial" w:cs="Arial"/>
          <w:b w:val="0"/>
          <w:color w:val="0D0D0D" w:themeColor="text1" w:themeTint="F2"/>
          <w:sz w:val="24"/>
          <w:szCs w:val="24"/>
        </w:rPr>
        <w:t>Fundación Mexicana del Riñón</w:t>
      </w:r>
      <w:r w:rsidRPr="00A802F5">
        <w:rPr>
          <w:rFonts w:ascii="Arial" w:hAnsi="Arial" w:cs="Arial"/>
          <w:color w:val="0D0D0D" w:themeColor="text1" w:themeTint="F2"/>
          <w:sz w:val="24"/>
          <w:szCs w:val="24"/>
        </w:rPr>
        <w:t xml:space="preserve"> nos dicen que, existen actualmente </w:t>
      </w:r>
      <w:r w:rsidRPr="00A802F5">
        <w:rPr>
          <w:rFonts w:ascii="Arial" w:hAnsi="Arial" w:cs="Arial"/>
          <w:color w:val="0D0D0D" w:themeColor="text1" w:themeTint="F2"/>
          <w:sz w:val="24"/>
          <w:szCs w:val="24"/>
          <w:shd w:val="clear" w:color="auto" w:fill="FFFFFF"/>
        </w:rPr>
        <w:t>9.6 millones de personas con Insuficiencia Renal en México, en sus estadios tempranos, 140,000 personas con Insuficiencia Renal Crónica (estadio 5) y cerca de 65,000 personas con tratamiento sustitutivo de la función renal (ya sea diálisis peritoneal o hemodiálisis)</w:t>
      </w:r>
      <w:r w:rsidRPr="00A802F5">
        <w:rPr>
          <w:rFonts w:ascii="Arial" w:eastAsia="Arial" w:hAnsi="Arial" w:cs="Arial"/>
          <w:color w:val="0D0D0D" w:themeColor="text1" w:themeTint="F2"/>
          <w:sz w:val="24"/>
          <w:szCs w:val="24"/>
          <w:lang w:val="es-ES_tradnl"/>
        </w:rPr>
        <w:t xml:space="preserve"> (</w:t>
      </w:r>
      <w:r w:rsidRPr="00A802F5">
        <w:rPr>
          <w:rStyle w:val="Textoennegrita"/>
          <w:rFonts w:ascii="Arial" w:hAnsi="Arial" w:cs="Arial"/>
          <w:b w:val="0"/>
          <w:color w:val="0D0D0D" w:themeColor="text1" w:themeTint="F2"/>
          <w:sz w:val="24"/>
          <w:szCs w:val="24"/>
          <w:shd w:val="clear" w:color="auto" w:fill="FFFFFF"/>
        </w:rPr>
        <w:t>Fundación Mexicana del Riñón</w:t>
      </w:r>
      <w:r w:rsidRPr="00A802F5">
        <w:rPr>
          <w:rFonts w:ascii="Arial" w:hAnsi="Arial" w:cs="Arial"/>
          <w:color w:val="0D0D0D" w:themeColor="text1" w:themeTint="F2"/>
          <w:sz w:val="24"/>
          <w:szCs w:val="24"/>
          <w:shd w:val="clear" w:color="auto" w:fill="FFFFFF"/>
        </w:rPr>
        <w:t> </w:t>
      </w:r>
      <w:r w:rsidRPr="00A802F5">
        <w:rPr>
          <w:rFonts w:ascii="Arial" w:hAnsi="Arial" w:cs="Arial"/>
          <w:color w:val="0D0D0D" w:themeColor="text1" w:themeTint="F2"/>
          <w:sz w:val="24"/>
          <w:szCs w:val="24"/>
        </w:rPr>
        <w:t xml:space="preserve"> A. C., 2012</w:t>
      </w:r>
      <w:r w:rsidRPr="00A802F5">
        <w:rPr>
          <w:rFonts w:ascii="Arial" w:eastAsia="Arial" w:hAnsi="Arial" w:cs="Arial"/>
          <w:color w:val="0D0D0D" w:themeColor="text1" w:themeTint="F2"/>
          <w:sz w:val="24"/>
          <w:szCs w:val="24"/>
          <w:lang w:val="es-ES_tradnl"/>
        </w:rPr>
        <w:t>)</w:t>
      </w:r>
      <w:r w:rsidRPr="00A802F5">
        <w:rPr>
          <w:rFonts w:ascii="Arial" w:hAnsi="Arial" w:cs="Arial"/>
          <w:color w:val="0D0D0D" w:themeColor="text1" w:themeTint="F2"/>
          <w:sz w:val="24"/>
          <w:szCs w:val="24"/>
        </w:rPr>
        <w:t xml:space="preserve">. </w:t>
      </w:r>
    </w:p>
    <w:p w14:paraId="7FD8244F" w14:textId="20BD44B6" w:rsidR="00CE2D87" w:rsidRPr="00616447" w:rsidRDefault="00CE2D87" w:rsidP="00825C3A">
      <w:pPr>
        <w:jc w:val="both"/>
        <w:rPr>
          <w:rFonts w:ascii="Arial" w:hAnsi="Arial" w:cs="Arial"/>
          <w:color w:val="0D0D0D" w:themeColor="text1" w:themeTint="F2"/>
          <w:sz w:val="24"/>
          <w:szCs w:val="24"/>
          <w:lang w:val="es-ES_tradnl"/>
        </w:rPr>
      </w:pPr>
      <w:r w:rsidRPr="00A802F5">
        <w:rPr>
          <w:rFonts w:ascii="Arial" w:hAnsi="Arial" w:cs="Arial"/>
          <w:color w:val="0D0D0D" w:themeColor="text1" w:themeTint="F2"/>
          <w:sz w:val="24"/>
          <w:szCs w:val="24"/>
        </w:rPr>
        <w:t xml:space="preserve">El INEGI ha reportado que actualmente </w:t>
      </w:r>
      <w:r w:rsidR="000559CA">
        <w:rPr>
          <w:rFonts w:ascii="Arial" w:hAnsi="Arial" w:cs="Arial"/>
          <w:color w:val="0D0D0D" w:themeColor="text1" w:themeTint="F2"/>
          <w:sz w:val="24"/>
          <w:szCs w:val="24"/>
        </w:rPr>
        <w:t>la insuficiencia renal es la quinta</w:t>
      </w:r>
      <w:r w:rsidRPr="00A802F5">
        <w:rPr>
          <w:rFonts w:ascii="Arial" w:hAnsi="Arial" w:cs="Arial"/>
          <w:color w:val="0D0D0D" w:themeColor="text1" w:themeTint="F2"/>
          <w:sz w:val="24"/>
          <w:szCs w:val="24"/>
        </w:rPr>
        <w:t xml:space="preserve"> causa de muerte más importante entre la población mexicana, ya que anualmente mueren cerca de 12 mil personas por complicaciones derivadas de la insuficiencia renal </w:t>
      </w:r>
      <w:r w:rsidRPr="00A802F5">
        <w:rPr>
          <w:rFonts w:ascii="Arial" w:eastAsia="Arial" w:hAnsi="Arial" w:cs="Arial"/>
          <w:color w:val="0D0D0D" w:themeColor="text1" w:themeTint="F2"/>
          <w:sz w:val="24"/>
          <w:szCs w:val="24"/>
          <w:lang w:val="es-ES_tradnl"/>
        </w:rPr>
        <w:t>(</w:t>
      </w:r>
      <w:r w:rsidR="00A802F5">
        <w:rPr>
          <w:rFonts w:ascii="Arial" w:hAnsi="Arial" w:cs="Arial"/>
          <w:bCs/>
          <w:color w:val="0D0D0D" w:themeColor="text1" w:themeTint="F2"/>
          <w:sz w:val="24"/>
          <w:szCs w:val="24"/>
        </w:rPr>
        <w:t>Clínica Renalis</w:t>
      </w:r>
      <w:r w:rsidRPr="00A802F5">
        <w:rPr>
          <w:rFonts w:ascii="Arial" w:hAnsi="Arial" w:cs="Arial"/>
          <w:bCs/>
          <w:color w:val="0D0D0D" w:themeColor="text1" w:themeTint="F2"/>
          <w:sz w:val="24"/>
          <w:szCs w:val="24"/>
        </w:rPr>
        <w:t xml:space="preserve">, </w:t>
      </w:r>
      <w:r w:rsidRPr="00A802F5">
        <w:rPr>
          <w:rFonts w:ascii="Arial" w:hAnsi="Arial" w:cs="Arial"/>
          <w:color w:val="0D0D0D" w:themeColor="text1" w:themeTint="F2"/>
          <w:sz w:val="24"/>
          <w:szCs w:val="24"/>
        </w:rPr>
        <w:t>2016</w:t>
      </w:r>
      <w:r w:rsidRPr="00A802F5">
        <w:rPr>
          <w:rFonts w:ascii="Arial" w:eastAsia="Arial" w:hAnsi="Arial" w:cs="Arial"/>
          <w:color w:val="0D0D0D" w:themeColor="text1" w:themeTint="F2"/>
          <w:sz w:val="24"/>
          <w:szCs w:val="24"/>
          <w:lang w:val="es-ES_tradnl"/>
        </w:rPr>
        <w:t>)</w:t>
      </w:r>
      <w:r w:rsidRPr="00A802F5">
        <w:rPr>
          <w:rFonts w:ascii="Arial" w:hAnsi="Arial" w:cs="Arial"/>
          <w:color w:val="0D0D0D" w:themeColor="text1" w:themeTint="F2"/>
          <w:sz w:val="24"/>
          <w:szCs w:val="24"/>
        </w:rPr>
        <w:t xml:space="preserve">. </w:t>
      </w:r>
      <w:r w:rsidRPr="00A802F5">
        <w:rPr>
          <w:rFonts w:ascii="Arial" w:hAnsi="Arial" w:cs="Arial"/>
          <w:color w:val="0D0D0D" w:themeColor="text1" w:themeTint="F2"/>
          <w:sz w:val="24"/>
          <w:szCs w:val="24"/>
          <w:lang w:val="es-ES_tradnl"/>
        </w:rPr>
        <w:t>En México, existen diversas alternativas en la MT para tratar estas afecciones, una ampliamente utilizada es complementar el tratamiento con infusiones a base de mezclas de plantas medicinales.</w:t>
      </w:r>
      <w:r w:rsidRPr="00A802F5">
        <w:rPr>
          <w:rFonts w:ascii="Arial" w:hAnsi="Arial" w:cs="Arial"/>
          <w:color w:val="0D0D0D" w:themeColor="text1" w:themeTint="F2"/>
          <w:sz w:val="24"/>
          <w:szCs w:val="24"/>
        </w:rPr>
        <w:t xml:space="preserve">La OMS reporta que el </w:t>
      </w:r>
      <w:r w:rsidRPr="00A802F5">
        <w:rPr>
          <w:rFonts w:ascii="Arial" w:eastAsia="Arial" w:hAnsi="Arial" w:cs="Arial"/>
          <w:color w:val="0D0D0D" w:themeColor="text1" w:themeTint="F2"/>
          <w:sz w:val="24"/>
          <w:szCs w:val="24"/>
          <w:lang w:val="es-ES_tradnl"/>
        </w:rPr>
        <w:t>80</w:t>
      </w:r>
      <w:r w:rsidRPr="00A802F5">
        <w:rPr>
          <w:rFonts w:ascii="Arial" w:hAnsi="Arial" w:cs="Arial"/>
          <w:color w:val="0D0D0D" w:themeColor="text1" w:themeTint="F2"/>
          <w:sz w:val="24"/>
          <w:szCs w:val="24"/>
        </w:rPr>
        <w:t xml:space="preserve">% de la población y en especial los países en vías de desarrollo </w:t>
      </w:r>
      <w:r w:rsidRPr="00A802F5">
        <w:rPr>
          <w:rFonts w:ascii="Arial" w:eastAsia="Arial" w:hAnsi="Arial" w:cs="Arial"/>
          <w:color w:val="0D0D0D" w:themeColor="text1" w:themeTint="F2"/>
          <w:sz w:val="24"/>
          <w:szCs w:val="24"/>
          <w:lang w:val="es-ES_tradnl"/>
        </w:rPr>
        <w:t>utilizan a la medicina tradicional para complementar sus necesidades básicas de salud, por lo que recomienda realizar investigaciones de las propiedades y control de calidad e identidad para determinar su seguridad y corroborar su eficacia farmacológica, aprovechando con ello los conocimientos ancestrales acumulados durante años (</w:t>
      </w:r>
      <w:r w:rsidR="00827B4D" w:rsidRPr="00A802F5">
        <w:rPr>
          <w:rFonts w:ascii="Arial" w:eastAsia="Times New Roman" w:hAnsi="Arial" w:cs="Arial"/>
          <w:color w:val="0D0D0D" w:themeColor="text1" w:themeTint="F2"/>
          <w:sz w:val="24"/>
          <w:szCs w:val="24"/>
        </w:rPr>
        <w:t>OMS, 2004</w:t>
      </w:r>
      <w:r w:rsidRPr="00A802F5">
        <w:rPr>
          <w:rFonts w:ascii="Arial" w:eastAsia="Arial" w:hAnsi="Arial" w:cs="Arial"/>
          <w:color w:val="0D0D0D" w:themeColor="text1" w:themeTint="F2"/>
          <w:sz w:val="24"/>
          <w:szCs w:val="24"/>
          <w:lang w:val="es-ES_tradnl"/>
        </w:rPr>
        <w:t xml:space="preserve">). </w:t>
      </w:r>
    </w:p>
    <w:p w14:paraId="21F5E150" w14:textId="77777777" w:rsidR="00CE2D87" w:rsidRPr="00A802F5" w:rsidRDefault="00CE2D87" w:rsidP="00825C3A">
      <w:pPr>
        <w:jc w:val="both"/>
        <w:rPr>
          <w:rFonts w:ascii="Arial" w:hAnsi="Arial" w:cs="Arial"/>
          <w:color w:val="0D0D0D" w:themeColor="text1" w:themeTint="F2"/>
          <w:sz w:val="24"/>
          <w:szCs w:val="24"/>
        </w:rPr>
      </w:pPr>
      <w:r w:rsidRPr="00A802F5">
        <w:rPr>
          <w:rFonts w:ascii="Arial" w:hAnsi="Arial" w:cs="Arial"/>
          <w:color w:val="0D0D0D" w:themeColor="text1" w:themeTint="F2"/>
          <w:sz w:val="24"/>
          <w:szCs w:val="24"/>
        </w:rPr>
        <w:t>Por medio de “la es</w:t>
      </w:r>
      <w:r w:rsidRPr="00A802F5">
        <w:rPr>
          <w:rFonts w:ascii="Arial" w:eastAsia="Times New Roman" w:hAnsi="Arial" w:cs="Arial"/>
          <w:color w:val="0D0D0D" w:themeColor="text1" w:themeTint="F2"/>
          <w:sz w:val="24"/>
          <w:szCs w:val="24"/>
          <w:lang w:eastAsia="es-MX"/>
        </w:rPr>
        <w:t xml:space="preserve">trategia de la OMS sobre medicina tradicional 2014-2023” se pretende ayudar a las autoridades sanitarias a encontrar soluciones que promuevan la utilización segura y eficaz de la MT mediante la reglamentación de productos, prácticas y profesionales, además de prestar apoyo a los Estados Miembros para que aprovechen las contribuciones de la MT a la salud, el bienestar y la atención de la salud centrada en las personas desarrollando una base de conocimientos y formulación de políticas nacionales y fortaleciendo su seguridad, calidad y eficacia mediante la reglamentación correspondiente </w:t>
      </w:r>
      <w:r w:rsidRPr="00A802F5">
        <w:rPr>
          <w:rFonts w:ascii="Arial" w:eastAsia="Arial" w:hAnsi="Arial" w:cs="Arial"/>
          <w:color w:val="0D0D0D" w:themeColor="text1" w:themeTint="F2"/>
          <w:sz w:val="24"/>
          <w:szCs w:val="24"/>
          <w:lang w:val="es-ES_tradnl"/>
        </w:rPr>
        <w:t>(</w:t>
      </w:r>
      <w:r w:rsidRPr="00A802F5">
        <w:rPr>
          <w:rFonts w:ascii="Arial" w:hAnsi="Arial" w:cs="Arial"/>
          <w:color w:val="0D0D0D" w:themeColor="text1" w:themeTint="F2"/>
          <w:sz w:val="24"/>
          <w:szCs w:val="24"/>
        </w:rPr>
        <w:t>OMS, 2013</w:t>
      </w:r>
      <w:r w:rsidRPr="00A802F5">
        <w:rPr>
          <w:rFonts w:ascii="Arial" w:eastAsia="Arial" w:hAnsi="Arial" w:cs="Arial"/>
          <w:color w:val="0D0D0D" w:themeColor="text1" w:themeTint="F2"/>
          <w:sz w:val="24"/>
          <w:szCs w:val="24"/>
          <w:lang w:val="es-ES_tradnl"/>
        </w:rPr>
        <w:t>)</w:t>
      </w:r>
      <w:r w:rsidRPr="00A802F5">
        <w:rPr>
          <w:rFonts w:ascii="Arial" w:eastAsia="Times New Roman" w:hAnsi="Arial" w:cs="Arial"/>
          <w:color w:val="0D0D0D" w:themeColor="text1" w:themeTint="F2"/>
          <w:sz w:val="24"/>
          <w:szCs w:val="24"/>
          <w:lang w:eastAsia="es-MX"/>
        </w:rPr>
        <w:t>.</w:t>
      </w:r>
    </w:p>
    <w:p w14:paraId="70D18237" w14:textId="1CCF93F0" w:rsidR="00CE2D87" w:rsidRPr="00A802F5" w:rsidRDefault="00BB1182" w:rsidP="00825C3A">
      <w:pPr>
        <w:jc w:val="both"/>
        <w:rPr>
          <w:rFonts w:ascii="Arial" w:eastAsia="Arial" w:hAnsi="Arial" w:cs="Arial"/>
          <w:color w:val="0D0D0D" w:themeColor="text1" w:themeTint="F2"/>
          <w:sz w:val="24"/>
          <w:szCs w:val="24"/>
          <w:u w:val="single"/>
        </w:rPr>
      </w:pPr>
      <w:r>
        <w:rPr>
          <w:rFonts w:ascii="Arial" w:eastAsia="Arial" w:hAnsi="Arial" w:cs="Arial"/>
          <w:color w:val="0D0D0D" w:themeColor="text1" w:themeTint="F2"/>
          <w:sz w:val="24"/>
          <w:szCs w:val="24"/>
        </w:rPr>
        <w:t>El comité de e</w:t>
      </w:r>
      <w:r w:rsidR="00CE2D87" w:rsidRPr="00A802F5">
        <w:rPr>
          <w:rFonts w:ascii="Arial" w:eastAsia="Arial" w:hAnsi="Arial" w:cs="Arial"/>
          <w:color w:val="0D0D0D" w:themeColor="text1" w:themeTint="F2"/>
          <w:sz w:val="24"/>
          <w:szCs w:val="24"/>
        </w:rPr>
        <w:t xml:space="preserve">xpertos de la OMS acordó desde 1994 una serie de técnicas analíticas simplificadas, recomendando que se realice una inspección visual (señalándose atributos como el color o cualquier olor característico de la muestra) antes de realizar cualquier análisis con el fin de detectar daños de deterioro, por fabricación defectuosa o falsificación. Existen también pruebas sencillas que se utilizan para complementar los métodos de las farmacopeas oficiales (garantía de calidad), sirviendo para comprobar la identidad de los productos, utilizándose además como métodos de identificación y para calcular el contenido de principios activos, etc.; dichas pruebas requieren de técnicas más complejas como lo son el análisis volumétrico o espectrofotométrico y la cromatografía en capa fina, requiriendo materiales de referencia, como productos a granel de buena calidad </w:t>
      </w:r>
      <w:r w:rsidR="00CE2D87" w:rsidRPr="00A802F5">
        <w:rPr>
          <w:rFonts w:ascii="Arial" w:eastAsia="Arial" w:hAnsi="Arial" w:cs="Arial"/>
          <w:color w:val="0D0D0D" w:themeColor="text1" w:themeTint="F2"/>
          <w:sz w:val="24"/>
          <w:szCs w:val="24"/>
          <w:lang w:val="es-ES_tradnl"/>
        </w:rPr>
        <w:t>(</w:t>
      </w:r>
      <w:r w:rsidR="00CE2D87" w:rsidRPr="00A802F5">
        <w:rPr>
          <w:rFonts w:ascii="Arial" w:eastAsia="Arial" w:hAnsi="Arial" w:cs="Arial"/>
          <w:iCs/>
          <w:color w:val="0D0D0D" w:themeColor="text1" w:themeTint="F2"/>
          <w:sz w:val="24"/>
          <w:szCs w:val="24"/>
        </w:rPr>
        <w:t>Comité de Expertos de la OMS</w:t>
      </w:r>
      <w:r w:rsidR="00CE2D87" w:rsidRPr="00A802F5">
        <w:rPr>
          <w:rFonts w:ascii="Arial" w:eastAsia="Arial" w:hAnsi="Arial" w:cs="Arial"/>
          <w:color w:val="0D0D0D" w:themeColor="text1" w:themeTint="F2"/>
          <w:sz w:val="24"/>
          <w:szCs w:val="24"/>
        </w:rPr>
        <w:t>, 1996</w:t>
      </w:r>
      <w:r w:rsidR="00CE2D87" w:rsidRPr="00A802F5">
        <w:rPr>
          <w:rFonts w:ascii="Arial" w:eastAsia="Arial" w:hAnsi="Arial" w:cs="Arial"/>
          <w:color w:val="0D0D0D" w:themeColor="text1" w:themeTint="F2"/>
          <w:sz w:val="24"/>
          <w:szCs w:val="24"/>
          <w:lang w:val="es-ES_tradnl"/>
        </w:rPr>
        <w:t>)</w:t>
      </w:r>
      <w:r w:rsidR="00CE2D87" w:rsidRPr="00A802F5">
        <w:rPr>
          <w:rFonts w:ascii="Arial" w:eastAsia="Arial" w:hAnsi="Arial" w:cs="Arial"/>
          <w:color w:val="0D0D0D" w:themeColor="text1" w:themeTint="F2"/>
          <w:sz w:val="24"/>
          <w:szCs w:val="24"/>
        </w:rPr>
        <w:t>.</w:t>
      </w:r>
    </w:p>
    <w:p w14:paraId="76E266FF" w14:textId="1DB41603" w:rsidR="00CE2D87" w:rsidRPr="00616447" w:rsidRDefault="00CE2D87" w:rsidP="00616447">
      <w:pPr>
        <w:jc w:val="both"/>
        <w:rPr>
          <w:rFonts w:ascii="Arial" w:hAnsi="Arial" w:cs="Arial"/>
          <w:color w:val="0D0D0D" w:themeColor="text1" w:themeTint="F2"/>
          <w:sz w:val="24"/>
          <w:szCs w:val="24"/>
        </w:rPr>
      </w:pPr>
      <w:r w:rsidRPr="00A802F5">
        <w:rPr>
          <w:rFonts w:ascii="Arial" w:hAnsi="Arial" w:cs="Arial"/>
          <w:color w:val="0D0D0D" w:themeColor="text1" w:themeTint="F2"/>
          <w:sz w:val="24"/>
          <w:szCs w:val="24"/>
        </w:rPr>
        <w:lastRenderedPageBreak/>
        <w:t>En la mayoría de los casos, un cromatograma de huella dactilar del preparado herbolario</w:t>
      </w:r>
      <w:r w:rsidR="005F638A">
        <w:rPr>
          <w:rFonts w:ascii="Arial" w:hAnsi="Arial" w:cs="Arial"/>
          <w:color w:val="0D0D0D" w:themeColor="text1" w:themeTint="F2"/>
          <w:sz w:val="24"/>
          <w:szCs w:val="24"/>
        </w:rPr>
        <w:t>, obtenido por HPLC, GC</w:t>
      </w:r>
      <w:r w:rsidRPr="00A802F5">
        <w:rPr>
          <w:rFonts w:ascii="Arial" w:hAnsi="Arial" w:cs="Arial"/>
          <w:color w:val="0D0D0D" w:themeColor="text1" w:themeTint="F2"/>
          <w:sz w:val="24"/>
          <w:szCs w:val="24"/>
        </w:rPr>
        <w:t>, es la forma más apropiada para documentar la calidad</w:t>
      </w:r>
      <w:r w:rsidR="00BB1182">
        <w:rPr>
          <w:rFonts w:ascii="Arial" w:hAnsi="Arial" w:cs="Arial"/>
          <w:color w:val="0D0D0D" w:themeColor="text1" w:themeTint="F2"/>
          <w:sz w:val="24"/>
          <w:szCs w:val="24"/>
        </w:rPr>
        <w:t xml:space="preserve"> sin embargo es una técnica costosa y no disponible por todos los laboratorios; s</w:t>
      </w:r>
      <w:r w:rsidR="00BA0F3F" w:rsidRPr="00A802F5">
        <w:rPr>
          <w:rFonts w:ascii="Arial" w:hAnsi="Arial" w:cs="Arial"/>
          <w:color w:val="0D0D0D" w:themeColor="text1" w:themeTint="F2"/>
          <w:sz w:val="24"/>
          <w:szCs w:val="24"/>
        </w:rPr>
        <w:t xml:space="preserve">iendo la </w:t>
      </w:r>
      <w:r w:rsidR="00D96DDC">
        <w:rPr>
          <w:rFonts w:ascii="Arial" w:hAnsi="Arial" w:cs="Arial"/>
          <w:color w:val="0D0D0D" w:themeColor="text1" w:themeTint="F2"/>
          <w:sz w:val="24"/>
          <w:szCs w:val="24"/>
        </w:rPr>
        <w:t>cromatgráfia en capa fina (</w:t>
      </w:r>
      <w:r w:rsidR="00BA0F3F" w:rsidRPr="00A802F5">
        <w:rPr>
          <w:rFonts w:ascii="Arial" w:hAnsi="Arial" w:cs="Arial"/>
          <w:color w:val="0D0D0D" w:themeColor="text1" w:themeTint="F2"/>
          <w:sz w:val="24"/>
          <w:szCs w:val="24"/>
        </w:rPr>
        <w:t>CCF</w:t>
      </w:r>
      <w:r w:rsidR="00D96DDC">
        <w:rPr>
          <w:rFonts w:ascii="Arial" w:hAnsi="Arial" w:cs="Arial"/>
          <w:color w:val="0D0D0D" w:themeColor="text1" w:themeTint="F2"/>
          <w:sz w:val="24"/>
          <w:szCs w:val="24"/>
        </w:rPr>
        <w:t>)</w:t>
      </w:r>
      <w:r w:rsidR="00BB1182">
        <w:rPr>
          <w:rFonts w:ascii="Arial" w:hAnsi="Arial" w:cs="Arial"/>
          <w:color w:val="0D0D0D" w:themeColor="text1" w:themeTint="F2"/>
          <w:sz w:val="24"/>
          <w:szCs w:val="24"/>
        </w:rPr>
        <w:t xml:space="preserve"> una alternativa</w:t>
      </w:r>
      <w:r w:rsidR="00BA0F3F" w:rsidRPr="00A802F5">
        <w:rPr>
          <w:rFonts w:ascii="Arial" w:hAnsi="Arial" w:cs="Arial"/>
          <w:color w:val="0D0D0D" w:themeColor="text1" w:themeTint="F2"/>
          <w:sz w:val="24"/>
          <w:szCs w:val="24"/>
        </w:rPr>
        <w:t xml:space="preserve"> que presenta las mejores ventajas para el control de calidad </w:t>
      </w:r>
      <w:r w:rsidR="00BA0F3F" w:rsidRPr="00A802F5">
        <w:rPr>
          <w:rFonts w:ascii="Arial" w:eastAsia="Arial" w:hAnsi="Arial" w:cs="Arial"/>
          <w:color w:val="0D0D0D" w:themeColor="text1" w:themeTint="F2"/>
          <w:sz w:val="24"/>
          <w:szCs w:val="24"/>
        </w:rPr>
        <w:t xml:space="preserve">de calidad de productos a base de </w:t>
      </w:r>
      <w:r w:rsidR="00BB1182">
        <w:rPr>
          <w:rFonts w:ascii="Arial" w:eastAsia="Arial" w:hAnsi="Arial" w:cs="Arial"/>
          <w:color w:val="0D0D0D" w:themeColor="text1" w:themeTint="F2"/>
          <w:sz w:val="24"/>
          <w:szCs w:val="24"/>
        </w:rPr>
        <w:t>plantas</w:t>
      </w:r>
      <w:r w:rsidR="00BA0F3F" w:rsidRPr="00A802F5">
        <w:rPr>
          <w:rFonts w:ascii="Arial" w:eastAsia="Arial" w:hAnsi="Arial" w:cs="Arial"/>
          <w:color w:val="0D0D0D" w:themeColor="text1" w:themeTint="F2"/>
          <w:sz w:val="24"/>
          <w:szCs w:val="24"/>
        </w:rPr>
        <w:t>: es comparativamente barato</w:t>
      </w:r>
      <w:r w:rsidR="00BB1182">
        <w:rPr>
          <w:rFonts w:ascii="Arial" w:eastAsia="Arial" w:hAnsi="Arial" w:cs="Arial"/>
          <w:color w:val="0D0D0D" w:themeColor="text1" w:themeTint="F2"/>
          <w:sz w:val="24"/>
          <w:szCs w:val="24"/>
        </w:rPr>
        <w:t>, asequible</w:t>
      </w:r>
      <w:r w:rsidR="00BA0F3F" w:rsidRPr="00A802F5">
        <w:rPr>
          <w:rFonts w:ascii="Arial" w:eastAsia="Arial" w:hAnsi="Arial" w:cs="Arial"/>
          <w:color w:val="0D0D0D" w:themeColor="text1" w:themeTint="F2"/>
          <w:sz w:val="24"/>
          <w:szCs w:val="24"/>
        </w:rPr>
        <w:t>, fácil de realizar, versátil, rápido, permite una alta especificidad y alta sensibilidad. (Pferschy y Bauer, 2015).</w:t>
      </w:r>
      <w:r w:rsidR="00A802F5">
        <w:rPr>
          <w:rFonts w:ascii="Arial" w:hAnsi="Arial" w:cs="Arial"/>
          <w:color w:val="0D0D0D" w:themeColor="text1" w:themeTint="F2"/>
          <w:sz w:val="24"/>
          <w:szCs w:val="24"/>
        </w:rPr>
        <w:t xml:space="preserve"> </w:t>
      </w:r>
      <w:r w:rsidRPr="00A802F5">
        <w:rPr>
          <w:rFonts w:ascii="Arial" w:hAnsi="Arial" w:cs="Arial"/>
          <w:color w:val="0D0D0D" w:themeColor="text1" w:themeTint="F2"/>
          <w:sz w:val="24"/>
          <w:szCs w:val="24"/>
        </w:rPr>
        <w:t>Incluso si no se pueden identificar todos o ninguno de los constituyentes separados, el cromatograma de huella digital junto con el método detallado de extracción representan una documentación buena de la calidad del material analizado</w:t>
      </w:r>
      <w:r w:rsidR="00BB1182">
        <w:rPr>
          <w:rFonts w:ascii="Arial" w:hAnsi="Arial" w:cs="Arial"/>
          <w:color w:val="0D0D0D" w:themeColor="text1" w:themeTint="F2"/>
          <w:sz w:val="24"/>
          <w:szCs w:val="24"/>
        </w:rPr>
        <w:t xml:space="preserve"> y pede ser implemetada como técnica de control de calidad una vez estandarizado e proceso y </w:t>
      </w:r>
      <w:r w:rsidR="008374B8">
        <w:rPr>
          <w:rFonts w:ascii="Arial" w:hAnsi="Arial" w:cs="Arial"/>
          <w:color w:val="0D0D0D" w:themeColor="text1" w:themeTint="F2"/>
          <w:sz w:val="24"/>
          <w:szCs w:val="24"/>
        </w:rPr>
        <w:t>alguno de los componentes mayori</w:t>
      </w:r>
      <w:r w:rsidR="00BB1182">
        <w:rPr>
          <w:rFonts w:ascii="Arial" w:hAnsi="Arial" w:cs="Arial"/>
          <w:color w:val="0D0D0D" w:themeColor="text1" w:themeTint="F2"/>
          <w:sz w:val="24"/>
          <w:szCs w:val="24"/>
        </w:rPr>
        <w:t>tarios</w:t>
      </w:r>
      <w:r w:rsidRPr="00A802F5">
        <w:rPr>
          <w:rFonts w:ascii="Arial" w:hAnsi="Arial" w:cs="Arial"/>
          <w:color w:val="0D0D0D" w:themeColor="text1" w:themeTint="F2"/>
          <w:sz w:val="24"/>
          <w:szCs w:val="24"/>
        </w:rPr>
        <w:t xml:space="preserve"> </w:t>
      </w:r>
      <w:r w:rsidRPr="00A802F5">
        <w:rPr>
          <w:rFonts w:ascii="Arial" w:eastAsia="Arial" w:hAnsi="Arial" w:cs="Arial"/>
          <w:color w:val="0D0D0D" w:themeColor="text1" w:themeTint="F2"/>
          <w:sz w:val="24"/>
          <w:szCs w:val="24"/>
          <w:lang w:val="es-ES_tradnl"/>
        </w:rPr>
        <w:t>(</w:t>
      </w:r>
      <w:r w:rsidRPr="005F638A">
        <w:rPr>
          <w:rFonts w:ascii="Arial" w:hAnsi="Arial" w:cs="Arial"/>
          <w:color w:val="0D0D0D" w:themeColor="text1" w:themeTint="F2"/>
          <w:sz w:val="24"/>
          <w:szCs w:val="24"/>
        </w:rPr>
        <w:t>Bauer y Tittel, 1996</w:t>
      </w:r>
      <w:r w:rsidRPr="00A802F5">
        <w:rPr>
          <w:rFonts w:ascii="Arial" w:eastAsia="Arial" w:hAnsi="Arial" w:cs="Arial"/>
          <w:color w:val="0D0D0D" w:themeColor="text1" w:themeTint="F2"/>
          <w:sz w:val="24"/>
          <w:szCs w:val="24"/>
          <w:lang w:val="es-ES_tradnl"/>
        </w:rPr>
        <w:t>)</w:t>
      </w:r>
      <w:r w:rsidRPr="00A802F5">
        <w:rPr>
          <w:rFonts w:ascii="Arial" w:hAnsi="Arial" w:cs="Arial"/>
          <w:color w:val="0D0D0D" w:themeColor="text1" w:themeTint="F2"/>
          <w:sz w:val="24"/>
          <w:szCs w:val="24"/>
        </w:rPr>
        <w:t>.</w:t>
      </w:r>
      <w:r w:rsidR="00616447">
        <w:rPr>
          <w:rFonts w:ascii="Arial" w:hAnsi="Arial" w:cs="Arial"/>
          <w:color w:val="0D0D0D" w:themeColor="text1" w:themeTint="F2"/>
          <w:sz w:val="24"/>
          <w:szCs w:val="24"/>
        </w:rPr>
        <w:t xml:space="preserve"> </w:t>
      </w:r>
      <w:r w:rsidRPr="00A802F5">
        <w:rPr>
          <w:rFonts w:ascii="Arial" w:hAnsi="Arial" w:cs="Arial"/>
          <w:color w:val="0D0D0D" w:themeColor="text1" w:themeTint="F2"/>
          <w:sz w:val="24"/>
          <w:szCs w:val="24"/>
        </w:rPr>
        <w:t xml:space="preserve">En México, los </w:t>
      </w:r>
      <w:r w:rsidRPr="00A802F5">
        <w:rPr>
          <w:rFonts w:ascii="Arial" w:eastAsia="Arial" w:hAnsi="Arial" w:cs="Arial"/>
          <w:color w:val="0D0D0D" w:themeColor="text1" w:themeTint="F2"/>
          <w:sz w:val="24"/>
          <w:szCs w:val="24"/>
        </w:rPr>
        <w:t xml:space="preserve">remedios herbolarios </w:t>
      </w:r>
      <w:r w:rsidR="008374B8">
        <w:rPr>
          <w:rFonts w:ascii="Arial" w:eastAsia="Arial" w:hAnsi="Arial" w:cs="Arial"/>
          <w:color w:val="0D0D0D" w:themeColor="text1" w:themeTint="F2"/>
          <w:sz w:val="24"/>
          <w:szCs w:val="24"/>
        </w:rPr>
        <w:t xml:space="preserve">ahora deben ser </w:t>
      </w:r>
      <w:r w:rsidRPr="00A802F5">
        <w:rPr>
          <w:rFonts w:ascii="Arial" w:eastAsia="Arial" w:hAnsi="Arial" w:cs="Arial"/>
          <w:color w:val="0D0D0D" w:themeColor="text1" w:themeTint="F2"/>
          <w:sz w:val="24"/>
          <w:szCs w:val="24"/>
        </w:rPr>
        <w:t>sometidos a los controles de calidad, según el protocolo establecido en la Norma Oficial Mexicana NOM-073-SSA1-2015, estabilidad de fármacos y medicamentos, a</w:t>
      </w:r>
      <w:r w:rsidR="00946505">
        <w:rPr>
          <w:rFonts w:ascii="Arial" w:eastAsia="Arial" w:hAnsi="Arial" w:cs="Arial"/>
          <w:color w:val="0D0D0D" w:themeColor="text1" w:themeTint="F2"/>
          <w:sz w:val="24"/>
          <w:szCs w:val="24"/>
        </w:rPr>
        <w:t xml:space="preserve">sí como de remedios herbolarios, por lo cuál empezar a desarrollar técnicas sencillas y repoducibles es de vital importancia para </w:t>
      </w:r>
      <w:r w:rsidR="00D96DDC">
        <w:rPr>
          <w:rFonts w:ascii="Arial" w:eastAsia="Arial" w:hAnsi="Arial" w:cs="Arial"/>
          <w:color w:val="0D0D0D" w:themeColor="text1" w:themeTint="F2"/>
          <w:sz w:val="24"/>
          <w:szCs w:val="24"/>
        </w:rPr>
        <w:t xml:space="preserve">asegurar la calidad. </w:t>
      </w:r>
    </w:p>
    <w:p w14:paraId="669647FC" w14:textId="77777777" w:rsidR="00A802F5" w:rsidRPr="00A802F5" w:rsidRDefault="00A802F5" w:rsidP="00825C3A">
      <w:pPr>
        <w:autoSpaceDE w:val="0"/>
        <w:autoSpaceDN w:val="0"/>
        <w:adjustRightInd w:val="0"/>
        <w:spacing w:after="0"/>
        <w:rPr>
          <w:rFonts w:ascii="Arial" w:hAnsi="Arial" w:cs="Arial"/>
          <w:color w:val="0D0D0D" w:themeColor="text1" w:themeTint="F2"/>
          <w:sz w:val="24"/>
          <w:szCs w:val="24"/>
        </w:rPr>
      </w:pPr>
    </w:p>
    <w:p w14:paraId="2E54786C" w14:textId="77777777" w:rsidR="00C57ED8" w:rsidRPr="00A802F5" w:rsidRDefault="00C57ED8" w:rsidP="00825C3A">
      <w:pPr>
        <w:pStyle w:val="Prrafodelista"/>
        <w:numPr>
          <w:ilvl w:val="0"/>
          <w:numId w:val="1"/>
        </w:numPr>
        <w:autoSpaceDE w:val="0"/>
        <w:autoSpaceDN w:val="0"/>
        <w:adjustRightInd w:val="0"/>
        <w:spacing w:after="0"/>
        <w:rPr>
          <w:rFonts w:ascii="Arial" w:hAnsi="Arial" w:cs="Arial"/>
          <w:color w:val="0D0D0D" w:themeColor="text1" w:themeTint="F2"/>
          <w:sz w:val="24"/>
          <w:szCs w:val="24"/>
        </w:rPr>
      </w:pPr>
      <w:r w:rsidRPr="00A802F5">
        <w:rPr>
          <w:rFonts w:ascii="Arial" w:hAnsi="Arial" w:cs="Arial"/>
          <w:b/>
          <w:color w:val="0D0D0D" w:themeColor="text1" w:themeTint="F2"/>
          <w:sz w:val="24"/>
          <w:szCs w:val="24"/>
        </w:rPr>
        <w:t>Ma</w:t>
      </w:r>
      <w:r w:rsidR="0073572E" w:rsidRPr="00A802F5">
        <w:rPr>
          <w:rFonts w:ascii="Arial" w:hAnsi="Arial" w:cs="Arial"/>
          <w:b/>
          <w:color w:val="0D0D0D" w:themeColor="text1" w:themeTint="F2"/>
          <w:sz w:val="24"/>
          <w:szCs w:val="24"/>
        </w:rPr>
        <w:t>teriales y Métodos</w:t>
      </w:r>
      <w:r w:rsidR="00827B4D" w:rsidRPr="00A802F5">
        <w:rPr>
          <w:rFonts w:ascii="Arial" w:hAnsi="Arial" w:cs="Arial"/>
          <w:color w:val="0D0D0D" w:themeColor="text1" w:themeTint="F2"/>
          <w:sz w:val="24"/>
          <w:szCs w:val="24"/>
        </w:rPr>
        <w:t>.</w:t>
      </w:r>
    </w:p>
    <w:p w14:paraId="799C93F5" w14:textId="77777777" w:rsidR="00827B4D" w:rsidRPr="00A802F5" w:rsidRDefault="00827B4D" w:rsidP="00825C3A">
      <w:pPr>
        <w:autoSpaceDE w:val="0"/>
        <w:autoSpaceDN w:val="0"/>
        <w:adjustRightInd w:val="0"/>
        <w:spacing w:after="0"/>
        <w:rPr>
          <w:rFonts w:ascii="Arial" w:hAnsi="Arial" w:cs="Arial"/>
          <w:color w:val="0D0D0D" w:themeColor="text1" w:themeTint="F2"/>
          <w:sz w:val="24"/>
          <w:szCs w:val="24"/>
        </w:rPr>
      </w:pPr>
    </w:p>
    <w:p w14:paraId="06E51E36" w14:textId="77777777" w:rsidR="0073572E" w:rsidRPr="00A802F5" w:rsidRDefault="0073572E" w:rsidP="00825C3A">
      <w:pPr>
        <w:jc w:val="both"/>
        <w:rPr>
          <w:rFonts w:ascii="Arial" w:hAnsi="Arial" w:cs="Arial"/>
          <w:b/>
          <w:color w:val="0D0D0D" w:themeColor="text1" w:themeTint="F2"/>
          <w:sz w:val="24"/>
          <w:szCs w:val="24"/>
          <w:lang w:val="es-ES_tradnl"/>
        </w:rPr>
      </w:pPr>
      <w:r w:rsidRPr="00A802F5">
        <w:rPr>
          <w:rFonts w:ascii="Arial" w:hAnsi="Arial" w:cs="Arial"/>
          <w:b/>
          <w:color w:val="0D0D0D" w:themeColor="text1" w:themeTint="F2"/>
          <w:sz w:val="24"/>
          <w:szCs w:val="24"/>
          <w:lang w:val="es-ES_tradnl"/>
        </w:rPr>
        <w:t>Materiales</w:t>
      </w:r>
    </w:p>
    <w:p w14:paraId="5D89C6F0" w14:textId="09A1DECD" w:rsidR="00616447" w:rsidRPr="00A802F5" w:rsidRDefault="00D96DDC" w:rsidP="00825C3A">
      <w:pPr>
        <w:jc w:val="both"/>
        <w:rPr>
          <w:rFonts w:ascii="Arial" w:hAnsi="Arial" w:cs="Arial"/>
          <w:color w:val="0D0D0D" w:themeColor="text1" w:themeTint="F2"/>
          <w:sz w:val="24"/>
          <w:szCs w:val="24"/>
          <w:lang w:val="es-ES_tradnl"/>
        </w:rPr>
      </w:pPr>
      <w:r>
        <w:rPr>
          <w:rFonts w:ascii="Arial" w:hAnsi="Arial" w:cs="Arial"/>
          <w:color w:val="0D0D0D" w:themeColor="text1" w:themeTint="F2"/>
          <w:sz w:val="24"/>
          <w:szCs w:val="24"/>
          <w:lang w:val="es-ES_tradnl"/>
        </w:rPr>
        <w:t xml:space="preserve">El </w:t>
      </w:r>
      <w:r w:rsidR="00616447">
        <w:rPr>
          <w:rFonts w:ascii="Arial" w:hAnsi="Arial" w:cs="Arial"/>
          <w:color w:val="0D0D0D" w:themeColor="text1" w:themeTint="F2"/>
          <w:sz w:val="24"/>
          <w:szCs w:val="24"/>
          <w:lang w:val="es-ES_tradnl"/>
        </w:rPr>
        <w:t>remedio herbolario (</w:t>
      </w:r>
      <w:r w:rsidR="00616447">
        <w:rPr>
          <w:rFonts w:ascii="Arial" w:eastAsia="Arial" w:hAnsi="Arial" w:cs="Arial"/>
          <w:color w:val="0D0D0D" w:themeColor="text1" w:themeTint="F2"/>
          <w:sz w:val="24"/>
          <w:szCs w:val="24"/>
          <w:lang w:val="es-ES_tradnl"/>
        </w:rPr>
        <w:t>RH)</w:t>
      </w:r>
      <w:r w:rsidR="00BE2884" w:rsidRPr="00A802F5">
        <w:rPr>
          <w:rFonts w:ascii="Arial" w:eastAsia="Arial" w:hAnsi="Arial" w:cs="Arial"/>
          <w:color w:val="0D0D0D" w:themeColor="text1" w:themeTint="F2"/>
          <w:sz w:val="24"/>
          <w:szCs w:val="24"/>
          <w:lang w:val="es-ES_tradnl"/>
        </w:rPr>
        <w:t xml:space="preserve"> </w:t>
      </w:r>
      <w:r w:rsidR="0073572E" w:rsidRPr="00A802F5">
        <w:rPr>
          <w:rFonts w:ascii="Arial" w:hAnsi="Arial" w:cs="Arial"/>
          <w:color w:val="0D0D0D" w:themeColor="text1" w:themeTint="F2"/>
          <w:sz w:val="24"/>
          <w:szCs w:val="24"/>
          <w:lang w:val="es-ES_tradnl"/>
        </w:rPr>
        <w:t xml:space="preserve">objeto de estudio se adquirió de manera comercial en la ciudad de Tepic, Nayarit en dos presentaciones: </w:t>
      </w:r>
      <w:r w:rsidR="0073572E" w:rsidRPr="00A802F5">
        <w:rPr>
          <w:rFonts w:ascii="Arial" w:eastAsia="Arial" w:hAnsi="Arial" w:cs="Arial"/>
          <w:color w:val="0D0D0D" w:themeColor="text1" w:themeTint="F2"/>
          <w:sz w:val="24"/>
          <w:szCs w:val="24"/>
          <w:lang w:val="es-ES_tradnl"/>
        </w:rPr>
        <w:t>mezcla vegetal para infusión (MV-i) y en cápsulas</w:t>
      </w:r>
      <w:r w:rsidR="009A5FFF" w:rsidRPr="00A802F5">
        <w:rPr>
          <w:rFonts w:ascii="Arial" w:eastAsia="Arial" w:hAnsi="Arial" w:cs="Arial"/>
          <w:color w:val="0D0D0D" w:themeColor="text1" w:themeTint="F2"/>
          <w:sz w:val="24"/>
          <w:szCs w:val="24"/>
          <w:lang w:val="es-ES_tradnl"/>
        </w:rPr>
        <w:t xml:space="preserve"> con número de lote 3361215.</w:t>
      </w:r>
    </w:p>
    <w:p w14:paraId="4CF59B3F" w14:textId="34F823FB" w:rsidR="0073572E" w:rsidRPr="00A802F5" w:rsidRDefault="0073572E" w:rsidP="00825C3A">
      <w:pPr>
        <w:jc w:val="both"/>
        <w:rPr>
          <w:rFonts w:ascii="Arial" w:hAnsi="Arial" w:cs="Arial"/>
          <w:b/>
          <w:color w:val="0D0D0D" w:themeColor="text1" w:themeTint="F2"/>
          <w:sz w:val="24"/>
          <w:szCs w:val="24"/>
          <w:lang w:val="es-ES_tradnl"/>
        </w:rPr>
      </w:pPr>
      <w:r w:rsidRPr="00A802F5">
        <w:rPr>
          <w:rFonts w:ascii="Arial" w:hAnsi="Arial" w:cs="Arial"/>
          <w:b/>
          <w:color w:val="0D0D0D" w:themeColor="text1" w:themeTint="F2"/>
          <w:sz w:val="24"/>
          <w:szCs w:val="24"/>
          <w:lang w:val="es-ES_tradnl"/>
        </w:rPr>
        <w:t>Métodos</w:t>
      </w:r>
    </w:p>
    <w:p w14:paraId="05518F51" w14:textId="77777777" w:rsidR="00BE2884" w:rsidRPr="00A802F5" w:rsidRDefault="00BE2884" w:rsidP="00825C3A">
      <w:pPr>
        <w:jc w:val="both"/>
        <w:rPr>
          <w:rFonts w:ascii="Arial" w:eastAsia="Arial" w:hAnsi="Arial" w:cs="Arial"/>
          <w:b/>
          <w:color w:val="0D0D0D" w:themeColor="text1" w:themeTint="F2"/>
          <w:sz w:val="24"/>
          <w:szCs w:val="24"/>
        </w:rPr>
      </w:pPr>
      <w:r w:rsidRPr="00A802F5">
        <w:rPr>
          <w:rFonts w:ascii="Arial" w:eastAsia="Arial" w:hAnsi="Arial" w:cs="Arial"/>
          <w:b/>
          <w:color w:val="0D0D0D" w:themeColor="text1" w:themeTint="F2"/>
          <w:sz w:val="24"/>
          <w:szCs w:val="24"/>
        </w:rPr>
        <w:t xml:space="preserve">Parámetros de calidad </w:t>
      </w:r>
      <w:r w:rsidRPr="00A802F5">
        <w:rPr>
          <w:rFonts w:ascii="Arial" w:eastAsia="Arial" w:hAnsi="Arial" w:cs="Arial"/>
          <w:b/>
          <w:color w:val="0D0D0D" w:themeColor="text1" w:themeTint="F2"/>
          <w:sz w:val="24"/>
          <w:szCs w:val="24"/>
          <w:lang w:val="es-ES_tradnl"/>
        </w:rPr>
        <w:t>(NOM-073-SSA1-2015)</w:t>
      </w:r>
      <w:r w:rsidR="002C2143" w:rsidRPr="00A802F5">
        <w:rPr>
          <w:rFonts w:ascii="Arial" w:eastAsia="Arial" w:hAnsi="Arial" w:cs="Arial"/>
          <w:b/>
          <w:color w:val="0D0D0D" w:themeColor="text1" w:themeTint="F2"/>
          <w:sz w:val="24"/>
          <w:szCs w:val="24"/>
        </w:rPr>
        <w:t xml:space="preserve">, </w:t>
      </w:r>
      <w:r w:rsidR="002C2143" w:rsidRPr="00A802F5">
        <w:rPr>
          <w:rFonts w:ascii="Arial" w:eastAsia="Arial" w:hAnsi="Arial" w:cs="Arial"/>
          <w:color w:val="0D0D0D" w:themeColor="text1" w:themeTint="F2"/>
          <w:sz w:val="24"/>
          <w:szCs w:val="24"/>
        </w:rPr>
        <w:t>para el caso de las cápsulas.</w:t>
      </w:r>
    </w:p>
    <w:p w14:paraId="24F3B838" w14:textId="77777777" w:rsidR="00BE2884" w:rsidRPr="00A802F5" w:rsidRDefault="00BE2884" w:rsidP="00825C3A">
      <w:pPr>
        <w:jc w:val="both"/>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t>Apartado 8-Medicamento conocido o genérico y remedio herbolario:</w:t>
      </w:r>
    </w:p>
    <w:p w14:paraId="34EF131D" w14:textId="77777777" w:rsidR="00BE2884" w:rsidRPr="00A802F5" w:rsidRDefault="00BE2884" w:rsidP="00825C3A">
      <w:pPr>
        <w:jc w:val="both"/>
        <w:rPr>
          <w:rFonts w:ascii="Arial" w:hAnsi="Arial" w:cs="Arial"/>
          <w:color w:val="0D0D0D" w:themeColor="text1" w:themeTint="F2"/>
          <w:sz w:val="24"/>
          <w:szCs w:val="24"/>
          <w:lang w:val="es-ES_tradnl"/>
        </w:rPr>
      </w:pPr>
      <w:r w:rsidRPr="00A802F5">
        <w:rPr>
          <w:rFonts w:ascii="Arial" w:eastAsia="Arial" w:hAnsi="Arial" w:cs="Arial"/>
          <w:color w:val="0D0D0D" w:themeColor="text1" w:themeTint="F2"/>
          <w:sz w:val="24"/>
          <w:szCs w:val="24"/>
        </w:rPr>
        <w:t xml:space="preserve">Condiciones del estudio: </w:t>
      </w:r>
    </w:p>
    <w:tbl>
      <w:tblPr>
        <w:tblStyle w:val="Tablaconcuadrcula"/>
        <w:tblW w:w="0" w:type="auto"/>
        <w:tblLook w:val="04A0" w:firstRow="1" w:lastRow="0" w:firstColumn="1" w:lastColumn="0" w:noHBand="0" w:noVBand="1"/>
      </w:tblPr>
      <w:tblGrid>
        <w:gridCol w:w="2750"/>
        <w:gridCol w:w="2925"/>
        <w:gridCol w:w="2181"/>
        <w:gridCol w:w="1764"/>
      </w:tblGrid>
      <w:tr w:rsidR="00A802F5" w:rsidRPr="00A802F5" w14:paraId="5D8F4B5A" w14:textId="77777777" w:rsidTr="00E10F5B">
        <w:tc>
          <w:tcPr>
            <w:tcW w:w="0" w:type="auto"/>
            <w:vAlign w:val="center"/>
          </w:tcPr>
          <w:p w14:paraId="52BD000C" w14:textId="77777777" w:rsidR="00BE2884" w:rsidRPr="00A802F5" w:rsidRDefault="00BE2884" w:rsidP="00825C3A">
            <w:pPr>
              <w:spacing w:line="276" w:lineRule="auto"/>
              <w:jc w:val="center"/>
              <w:rPr>
                <w:rFonts w:ascii="Arial" w:hAnsi="Arial" w:cs="Arial"/>
                <w:color w:val="0D0D0D" w:themeColor="text1" w:themeTint="F2"/>
                <w:sz w:val="24"/>
                <w:szCs w:val="24"/>
              </w:rPr>
            </w:pPr>
            <w:r w:rsidRPr="00A802F5">
              <w:rPr>
                <w:rFonts w:ascii="Arial" w:eastAsia="Arial" w:hAnsi="Arial" w:cs="Arial"/>
                <w:color w:val="0D0D0D" w:themeColor="text1" w:themeTint="F2"/>
                <w:sz w:val="24"/>
                <w:szCs w:val="24"/>
              </w:rPr>
              <w:t>Tipo de estudio</w:t>
            </w:r>
          </w:p>
        </w:tc>
        <w:tc>
          <w:tcPr>
            <w:tcW w:w="0" w:type="auto"/>
            <w:vAlign w:val="center"/>
          </w:tcPr>
          <w:p w14:paraId="37B7B543" w14:textId="77777777" w:rsidR="00BE2884" w:rsidRPr="00A802F5" w:rsidRDefault="00BE2884" w:rsidP="00825C3A">
            <w:pPr>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Condiciones de almacenamien</w:t>
            </w:r>
            <w:r w:rsidRPr="00A802F5">
              <w:rPr>
                <w:rFonts w:ascii="Arial" w:eastAsia="Arial" w:hAnsi="Arial" w:cs="Arial"/>
                <w:color w:val="0D0D0D" w:themeColor="text1" w:themeTint="F2"/>
                <w:sz w:val="24"/>
                <w:szCs w:val="24"/>
              </w:rPr>
              <w:t>to</w:t>
            </w:r>
          </w:p>
        </w:tc>
        <w:tc>
          <w:tcPr>
            <w:tcW w:w="2181" w:type="dxa"/>
            <w:vAlign w:val="center"/>
          </w:tcPr>
          <w:p w14:paraId="1DB18A35" w14:textId="77777777" w:rsidR="00BE2884" w:rsidRPr="00A802F5" w:rsidRDefault="00BE2884" w:rsidP="00825C3A">
            <w:pPr>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Periodo mínimo</w:t>
            </w:r>
          </w:p>
        </w:tc>
        <w:tc>
          <w:tcPr>
            <w:tcW w:w="1764" w:type="dxa"/>
            <w:vAlign w:val="center"/>
          </w:tcPr>
          <w:p w14:paraId="3F0FD5F1" w14:textId="77777777" w:rsidR="00BE2884" w:rsidRPr="00A802F5" w:rsidRDefault="00BE2884" w:rsidP="00825C3A">
            <w:pPr>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Frecuencia de análisis</w:t>
            </w:r>
          </w:p>
        </w:tc>
      </w:tr>
      <w:tr w:rsidR="00A802F5" w:rsidRPr="00A802F5" w14:paraId="0270BFF1" w14:textId="77777777" w:rsidTr="00E10F5B">
        <w:tc>
          <w:tcPr>
            <w:tcW w:w="0" w:type="auto"/>
            <w:vAlign w:val="center"/>
          </w:tcPr>
          <w:p w14:paraId="5D4A9C80" w14:textId="77777777" w:rsidR="00BE2884" w:rsidRPr="00A802F5" w:rsidRDefault="00BE2884" w:rsidP="00825C3A">
            <w:pPr>
              <w:spacing w:line="276" w:lineRule="auto"/>
              <w:jc w:val="center"/>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t>Estabilidad a condición intermedia</w:t>
            </w:r>
          </w:p>
        </w:tc>
        <w:tc>
          <w:tcPr>
            <w:tcW w:w="0" w:type="auto"/>
            <w:vAlign w:val="center"/>
          </w:tcPr>
          <w:p w14:paraId="1262CE6B" w14:textId="77777777" w:rsidR="00BE2884" w:rsidRPr="00A802F5" w:rsidRDefault="00BE2884" w:rsidP="00825C3A">
            <w:pPr>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lang w:val="es-ES_tradnl"/>
              </w:rPr>
              <w:t>30ºC ± 2ºC /65% HR ± 5% HR</w:t>
            </w:r>
          </w:p>
        </w:tc>
        <w:tc>
          <w:tcPr>
            <w:tcW w:w="2181" w:type="dxa"/>
            <w:vAlign w:val="center"/>
          </w:tcPr>
          <w:p w14:paraId="73959245" w14:textId="77777777" w:rsidR="00BE2884" w:rsidRPr="00A802F5" w:rsidRDefault="00BE2884" w:rsidP="00825C3A">
            <w:pPr>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6 meses</w:t>
            </w:r>
          </w:p>
        </w:tc>
        <w:tc>
          <w:tcPr>
            <w:tcW w:w="1764" w:type="dxa"/>
            <w:vAlign w:val="center"/>
          </w:tcPr>
          <w:p w14:paraId="4C195222" w14:textId="77777777" w:rsidR="00BE2884" w:rsidRPr="00A802F5" w:rsidRDefault="00BE2884" w:rsidP="00825C3A">
            <w:pPr>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lang w:val="es-ES_tradnl"/>
              </w:rPr>
              <w:t>0, 3 y 6 meses</w:t>
            </w:r>
          </w:p>
        </w:tc>
      </w:tr>
      <w:tr w:rsidR="00A802F5" w:rsidRPr="00A802F5" w14:paraId="26A63821" w14:textId="77777777" w:rsidTr="00E10F5B">
        <w:tc>
          <w:tcPr>
            <w:tcW w:w="0" w:type="auto"/>
            <w:vAlign w:val="center"/>
          </w:tcPr>
          <w:p w14:paraId="3A802F02" w14:textId="77777777" w:rsidR="00BE2884" w:rsidRPr="00A802F5" w:rsidRDefault="00BE2884" w:rsidP="00825C3A">
            <w:pPr>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Es</w:t>
            </w:r>
            <w:r w:rsidRPr="00A802F5">
              <w:rPr>
                <w:rFonts w:ascii="Arial" w:eastAsia="Arial" w:hAnsi="Arial" w:cs="Arial"/>
                <w:color w:val="0D0D0D" w:themeColor="text1" w:themeTint="F2"/>
                <w:sz w:val="24"/>
                <w:szCs w:val="24"/>
              </w:rPr>
              <w:t>tabilidad a largo plazo</w:t>
            </w:r>
          </w:p>
        </w:tc>
        <w:tc>
          <w:tcPr>
            <w:tcW w:w="0" w:type="auto"/>
            <w:vAlign w:val="center"/>
          </w:tcPr>
          <w:p w14:paraId="62982AE1" w14:textId="77777777" w:rsidR="00BE2884" w:rsidRPr="00A802F5" w:rsidRDefault="00BE2884" w:rsidP="00825C3A">
            <w:pPr>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lang w:val="es-ES_tradnl"/>
              </w:rPr>
              <w:t>30ºC ± 2ºC /65% HR ± 5% HR</w:t>
            </w:r>
          </w:p>
        </w:tc>
        <w:tc>
          <w:tcPr>
            <w:tcW w:w="2181" w:type="dxa"/>
            <w:vAlign w:val="center"/>
          </w:tcPr>
          <w:p w14:paraId="02B1F1B4" w14:textId="77777777" w:rsidR="00BE2884" w:rsidRPr="00A802F5" w:rsidRDefault="00BE2884" w:rsidP="00825C3A">
            <w:pPr>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12 meses</w:t>
            </w:r>
          </w:p>
        </w:tc>
        <w:tc>
          <w:tcPr>
            <w:tcW w:w="1764" w:type="dxa"/>
            <w:vAlign w:val="center"/>
          </w:tcPr>
          <w:p w14:paraId="7F923272" w14:textId="77777777" w:rsidR="00BE2884" w:rsidRPr="00A802F5" w:rsidRDefault="00BE2884" w:rsidP="00825C3A">
            <w:pPr>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lang w:val="es-ES_tradnl"/>
              </w:rPr>
              <w:t>0, 3, 6, 9 y 12 meses</w:t>
            </w:r>
          </w:p>
        </w:tc>
      </w:tr>
    </w:tbl>
    <w:p w14:paraId="68274128" w14:textId="77777777" w:rsidR="00BE2884" w:rsidRPr="00A802F5" w:rsidRDefault="00BE2884" w:rsidP="00825C3A">
      <w:pPr>
        <w:jc w:val="both"/>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t>Apartado 10- Consideraciones generales</w:t>
      </w:r>
      <w:r w:rsidR="00E10F5B" w:rsidRPr="00A802F5">
        <w:rPr>
          <w:rFonts w:ascii="Arial" w:eastAsia="Arial" w:hAnsi="Arial" w:cs="Arial"/>
          <w:color w:val="0D0D0D" w:themeColor="text1" w:themeTint="F2"/>
          <w:sz w:val="24"/>
          <w:szCs w:val="24"/>
        </w:rPr>
        <w:t xml:space="preserve"> </w:t>
      </w:r>
      <w:r w:rsidR="00E10F5B" w:rsidRPr="00A802F5">
        <w:rPr>
          <w:rFonts w:ascii="Arial" w:eastAsia="Arial" w:hAnsi="Arial" w:cs="Arial"/>
          <w:color w:val="0D0D0D" w:themeColor="text1" w:themeTint="F2"/>
          <w:sz w:val="24"/>
          <w:szCs w:val="24"/>
          <w:lang w:val="es-ES_tradnl"/>
        </w:rPr>
        <w:t>(</w:t>
      </w:r>
      <w:r w:rsidR="00A802F5">
        <w:rPr>
          <w:rFonts w:ascii="Arial" w:eastAsia="Arial" w:hAnsi="Arial" w:cs="Arial"/>
          <w:color w:val="0D0D0D" w:themeColor="text1" w:themeTint="F2"/>
          <w:sz w:val="24"/>
          <w:szCs w:val="24"/>
        </w:rPr>
        <w:t>p</w:t>
      </w:r>
      <w:r w:rsidR="00E10F5B" w:rsidRPr="00A802F5">
        <w:rPr>
          <w:rFonts w:ascii="Arial" w:eastAsia="Arial" w:hAnsi="Arial" w:cs="Arial"/>
          <w:color w:val="0D0D0D" w:themeColor="text1" w:themeTint="F2"/>
          <w:sz w:val="24"/>
          <w:szCs w:val="24"/>
        </w:rPr>
        <w:t>rueba para sólidos</w:t>
      </w:r>
      <w:r w:rsidR="00E10F5B" w:rsidRPr="00A802F5">
        <w:rPr>
          <w:rFonts w:ascii="Arial" w:eastAsia="Arial" w:hAnsi="Arial" w:cs="Arial"/>
          <w:color w:val="0D0D0D" w:themeColor="text1" w:themeTint="F2"/>
          <w:sz w:val="24"/>
          <w:szCs w:val="24"/>
          <w:lang w:val="es-ES_tradnl"/>
        </w:rPr>
        <w:t>)</w:t>
      </w:r>
      <w:r w:rsidRPr="00A802F5">
        <w:rPr>
          <w:rFonts w:ascii="Arial" w:eastAsia="Arial" w:hAnsi="Arial" w:cs="Arial"/>
          <w:color w:val="0D0D0D" w:themeColor="text1" w:themeTint="F2"/>
          <w:sz w:val="24"/>
          <w:szCs w:val="24"/>
        </w:rPr>
        <w:t>:</w:t>
      </w:r>
    </w:p>
    <w:p w14:paraId="44FB91D8" w14:textId="5742E149" w:rsidR="0073572E" w:rsidRPr="00A802F5" w:rsidRDefault="002C2143" w:rsidP="00825C3A">
      <w:pPr>
        <w:jc w:val="both"/>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lastRenderedPageBreak/>
        <w:t xml:space="preserve">Los </w:t>
      </w:r>
      <w:r w:rsidR="00E10F5B" w:rsidRPr="00A802F5">
        <w:rPr>
          <w:rFonts w:ascii="Arial" w:eastAsia="Arial" w:hAnsi="Arial" w:cs="Arial"/>
          <w:color w:val="0D0D0D" w:themeColor="text1" w:themeTint="F2"/>
          <w:sz w:val="24"/>
          <w:szCs w:val="24"/>
        </w:rPr>
        <w:t xml:space="preserve">parámetros </w:t>
      </w:r>
      <w:r w:rsidRPr="00A802F5">
        <w:rPr>
          <w:rFonts w:ascii="Arial" w:eastAsia="Arial" w:hAnsi="Arial" w:cs="Arial"/>
          <w:color w:val="0D0D0D" w:themeColor="text1" w:themeTint="F2"/>
          <w:sz w:val="24"/>
          <w:szCs w:val="24"/>
        </w:rPr>
        <w:t>evaluados fuer</w:t>
      </w:r>
      <w:r w:rsidR="00E10F5B" w:rsidRPr="00A802F5">
        <w:rPr>
          <w:rFonts w:ascii="Arial" w:eastAsia="Arial" w:hAnsi="Arial" w:cs="Arial"/>
          <w:color w:val="0D0D0D" w:themeColor="text1" w:themeTint="F2"/>
          <w:sz w:val="24"/>
          <w:szCs w:val="24"/>
        </w:rPr>
        <w:t>on: Apariencia</w:t>
      </w:r>
      <w:r w:rsidR="00E10F5B" w:rsidRPr="00A802F5">
        <w:rPr>
          <w:rFonts w:ascii="Arial" w:hAnsi="Arial" w:cs="Arial"/>
          <w:color w:val="0D0D0D" w:themeColor="text1" w:themeTint="F2"/>
          <w:sz w:val="24"/>
          <w:szCs w:val="24"/>
          <w:lang w:val="es-ES_tradnl"/>
        </w:rPr>
        <w:t>/</w:t>
      </w:r>
      <w:r w:rsidR="00E10F5B" w:rsidRPr="00A802F5">
        <w:rPr>
          <w:rFonts w:ascii="Arial" w:eastAsia="Arial" w:hAnsi="Arial" w:cs="Arial"/>
          <w:color w:val="0D0D0D" w:themeColor="text1" w:themeTint="F2"/>
          <w:sz w:val="24"/>
          <w:szCs w:val="24"/>
        </w:rPr>
        <w:t>Descripción</w:t>
      </w:r>
      <w:r w:rsidR="00E10F5B" w:rsidRPr="00A802F5">
        <w:rPr>
          <w:rFonts w:ascii="Arial" w:hAnsi="Arial" w:cs="Arial"/>
          <w:color w:val="0D0D0D" w:themeColor="text1" w:themeTint="F2"/>
          <w:sz w:val="24"/>
          <w:szCs w:val="24"/>
          <w:lang w:val="es-ES_tradnl"/>
        </w:rPr>
        <w:t>/</w:t>
      </w:r>
      <w:r w:rsidR="00E10F5B" w:rsidRPr="00A802F5">
        <w:rPr>
          <w:rFonts w:ascii="Arial" w:eastAsia="Arial" w:hAnsi="Arial" w:cs="Arial"/>
          <w:color w:val="0D0D0D" w:themeColor="text1" w:themeTint="F2"/>
          <w:sz w:val="24"/>
          <w:szCs w:val="24"/>
        </w:rPr>
        <w:t xml:space="preserve">Aspecto, color e identidad </w:t>
      </w:r>
      <w:r w:rsidR="00E10F5B" w:rsidRPr="00A802F5">
        <w:rPr>
          <w:rFonts w:ascii="Arial" w:eastAsia="Arial" w:hAnsi="Arial" w:cs="Arial"/>
          <w:color w:val="0D0D0D" w:themeColor="text1" w:themeTint="F2"/>
          <w:sz w:val="24"/>
          <w:szCs w:val="24"/>
          <w:lang w:val="es-ES_tradnl"/>
        </w:rPr>
        <w:t>(</w:t>
      </w:r>
      <w:r w:rsidR="00E10F5B" w:rsidRPr="00A802F5">
        <w:rPr>
          <w:rFonts w:ascii="Arial" w:eastAsia="Arial" w:hAnsi="Arial" w:cs="Arial"/>
          <w:color w:val="0D0D0D" w:themeColor="text1" w:themeTint="F2"/>
          <w:sz w:val="24"/>
          <w:szCs w:val="24"/>
        </w:rPr>
        <w:t>inicial y final</w:t>
      </w:r>
      <w:r w:rsidR="00E10F5B" w:rsidRPr="00A802F5">
        <w:rPr>
          <w:rFonts w:ascii="Arial" w:eastAsia="Arial" w:hAnsi="Arial" w:cs="Arial"/>
          <w:color w:val="0D0D0D" w:themeColor="text1" w:themeTint="F2"/>
          <w:sz w:val="24"/>
          <w:szCs w:val="24"/>
          <w:lang w:val="es-ES_tradnl"/>
        </w:rPr>
        <w:t>)</w:t>
      </w:r>
      <w:r w:rsidR="002D4F16">
        <w:rPr>
          <w:rFonts w:ascii="Arial" w:eastAsia="Arial" w:hAnsi="Arial" w:cs="Arial"/>
          <w:color w:val="0D0D0D" w:themeColor="text1" w:themeTint="F2"/>
          <w:sz w:val="24"/>
          <w:szCs w:val="24"/>
          <w:lang w:val="es-ES_tradnl"/>
        </w:rPr>
        <w:t>.</w:t>
      </w:r>
    </w:p>
    <w:p w14:paraId="425105EA" w14:textId="581992FB" w:rsidR="0073572E" w:rsidRPr="002D4F16" w:rsidRDefault="002D4F16" w:rsidP="00825C3A">
      <w:pPr>
        <w:spacing w:after="0"/>
        <w:jc w:val="both"/>
        <w:rPr>
          <w:rFonts w:ascii="Arial" w:eastAsia="Arial" w:hAnsi="Arial" w:cs="Arial"/>
          <w:b/>
          <w:color w:val="0D0D0D" w:themeColor="text1" w:themeTint="F2"/>
          <w:sz w:val="24"/>
          <w:szCs w:val="24"/>
        </w:rPr>
      </w:pPr>
      <w:r>
        <w:rPr>
          <w:rFonts w:ascii="Arial" w:eastAsia="Arial" w:hAnsi="Arial" w:cs="Arial"/>
          <w:b/>
          <w:color w:val="0D0D0D" w:themeColor="text1" w:themeTint="F2"/>
          <w:sz w:val="24"/>
          <w:szCs w:val="24"/>
        </w:rPr>
        <w:t>Identificación botánica: l</w:t>
      </w:r>
      <w:r w:rsidR="0073572E" w:rsidRPr="00A802F5">
        <w:rPr>
          <w:rFonts w:ascii="Arial" w:hAnsi="Arial" w:cs="Arial"/>
          <w:color w:val="0D0D0D" w:themeColor="text1" w:themeTint="F2"/>
          <w:sz w:val="24"/>
          <w:szCs w:val="24"/>
          <w:lang w:val="es-ES_tradnl"/>
        </w:rPr>
        <w:t>a identificación de las especies vegetales contenidas en la mezcla del MV-i se realizó separando por similitud morfológica y acorde a lo establecido en el método general de análisis MGA-FH 0040, examen visual e inspección microscópica de la Farmacopea Herbolaria de los Estados Unidos Mexicanos por medio de métodos macroscópicos.</w:t>
      </w:r>
    </w:p>
    <w:p w14:paraId="395CCB83" w14:textId="77777777" w:rsidR="0073572E" w:rsidRPr="00A802F5" w:rsidRDefault="0073572E" w:rsidP="00825C3A">
      <w:pPr>
        <w:spacing w:after="0"/>
        <w:ind w:left="360"/>
        <w:jc w:val="both"/>
        <w:rPr>
          <w:rFonts w:ascii="Arial" w:hAnsi="Arial" w:cs="Arial"/>
          <w:color w:val="0D0D0D" w:themeColor="text1" w:themeTint="F2"/>
          <w:sz w:val="24"/>
          <w:szCs w:val="24"/>
        </w:rPr>
      </w:pPr>
    </w:p>
    <w:p w14:paraId="45292AB3" w14:textId="018E1A79" w:rsidR="0073572E" w:rsidRPr="002D4F16" w:rsidRDefault="002D4F16" w:rsidP="00825C3A">
      <w:pPr>
        <w:jc w:val="both"/>
        <w:rPr>
          <w:rFonts w:ascii="Arial" w:hAnsi="Arial" w:cs="Arial"/>
          <w:b/>
          <w:color w:val="0D0D0D" w:themeColor="text1" w:themeTint="F2"/>
          <w:sz w:val="24"/>
          <w:szCs w:val="24"/>
          <w:lang w:val="es-ES_tradnl"/>
        </w:rPr>
      </w:pPr>
      <w:r>
        <w:rPr>
          <w:rFonts w:ascii="Arial" w:hAnsi="Arial" w:cs="Arial"/>
          <w:b/>
          <w:color w:val="0D0D0D" w:themeColor="text1" w:themeTint="F2"/>
          <w:sz w:val="24"/>
          <w:szCs w:val="24"/>
          <w:lang w:val="es-ES_tradnl"/>
        </w:rPr>
        <w:t xml:space="preserve">Preparación de Extractos: </w:t>
      </w:r>
      <w:r>
        <w:rPr>
          <w:rFonts w:ascii="Arial" w:hAnsi="Arial" w:cs="Arial"/>
          <w:color w:val="0D0D0D" w:themeColor="text1" w:themeTint="F2"/>
          <w:sz w:val="24"/>
          <w:szCs w:val="24"/>
          <w:lang w:val="es-ES_tradnl"/>
        </w:rPr>
        <w:t>e</w:t>
      </w:r>
      <w:r w:rsidR="0073572E" w:rsidRPr="00A802F5">
        <w:rPr>
          <w:rFonts w:ascii="Arial" w:hAnsi="Arial" w:cs="Arial"/>
          <w:color w:val="0D0D0D" w:themeColor="text1" w:themeTint="F2"/>
          <w:sz w:val="24"/>
          <w:szCs w:val="24"/>
          <w:lang w:val="es-ES_tradnl"/>
        </w:rPr>
        <w:t xml:space="preserve">l MV-i se pulverizó en un molino de cuchillas, posteriormente se realizó la extracción (sólido-líquido por triplicado) vía maceración con una solución hidroalcohólica (85:15 etanol-agua) y se dejó en reposo por un periodo de 72 horas a temperatura ambiente. El disolvente se decantó y se eliminó por destilación rotatoria a presión reducida hasta obtener el extracto seco. </w:t>
      </w:r>
    </w:p>
    <w:p w14:paraId="5757E5A6" w14:textId="77777777" w:rsidR="0073572E" w:rsidRPr="00A802F5" w:rsidRDefault="0073572E" w:rsidP="00825C3A">
      <w:pPr>
        <w:jc w:val="both"/>
        <w:rPr>
          <w:rFonts w:ascii="Arial" w:hAnsi="Arial" w:cs="Arial"/>
          <w:color w:val="0D0D0D" w:themeColor="text1" w:themeTint="F2"/>
          <w:sz w:val="24"/>
          <w:szCs w:val="24"/>
          <w:lang w:val="es-ES_tradnl"/>
        </w:rPr>
      </w:pPr>
      <w:r w:rsidRPr="00A802F5">
        <w:rPr>
          <w:rFonts w:ascii="Arial" w:hAnsi="Arial" w:cs="Arial"/>
          <w:color w:val="0D0D0D" w:themeColor="text1" w:themeTint="F2"/>
          <w:sz w:val="24"/>
          <w:szCs w:val="24"/>
          <w:lang w:val="es-ES_tradnl"/>
        </w:rPr>
        <w:t xml:space="preserve">En el caso de las cápsulas, desde un inicio se mantuvieron en un horno a </w:t>
      </w:r>
      <w:r w:rsidR="002C2143" w:rsidRPr="00A802F5">
        <w:rPr>
          <w:rFonts w:ascii="Arial" w:hAnsi="Arial" w:cs="Arial"/>
          <w:color w:val="0D0D0D" w:themeColor="text1" w:themeTint="F2"/>
          <w:sz w:val="24"/>
          <w:szCs w:val="24"/>
          <w:lang w:val="es-ES_tradnl"/>
        </w:rPr>
        <w:t>30ºC ± 2ºC /65% HR ± 5% HR</w:t>
      </w:r>
      <w:r w:rsidRPr="00A802F5">
        <w:rPr>
          <w:rFonts w:ascii="Arial" w:hAnsi="Arial" w:cs="Arial"/>
          <w:color w:val="0D0D0D" w:themeColor="text1" w:themeTint="F2"/>
          <w:sz w:val="24"/>
          <w:szCs w:val="24"/>
          <w:lang w:val="es-ES_tradnl"/>
        </w:rPr>
        <w:t>, realizando la extracción de la misma forma que en el MV-i</w:t>
      </w:r>
      <w:r w:rsidR="002C2143" w:rsidRPr="00A802F5">
        <w:rPr>
          <w:rFonts w:ascii="Arial" w:hAnsi="Arial" w:cs="Arial"/>
          <w:color w:val="0D0D0D" w:themeColor="text1" w:themeTint="F2"/>
          <w:sz w:val="24"/>
          <w:szCs w:val="24"/>
          <w:lang w:val="es-ES_tradnl"/>
        </w:rPr>
        <w:t xml:space="preserve"> tomándose muestras con una frecuencia de análisis de 0, 1, 3, 6 y 9 meses</w:t>
      </w:r>
      <w:r w:rsidRPr="00A802F5">
        <w:rPr>
          <w:rFonts w:ascii="Arial" w:hAnsi="Arial" w:cs="Arial"/>
          <w:color w:val="0D0D0D" w:themeColor="text1" w:themeTint="F2"/>
          <w:sz w:val="24"/>
          <w:szCs w:val="24"/>
          <w:lang w:val="es-ES_tradnl"/>
        </w:rPr>
        <w:t>.</w:t>
      </w:r>
    </w:p>
    <w:p w14:paraId="6211FC3A" w14:textId="3EF44F22" w:rsidR="0073572E" w:rsidRPr="00A802F5" w:rsidRDefault="002D4F16" w:rsidP="00825C3A">
      <w:pPr>
        <w:jc w:val="both"/>
        <w:rPr>
          <w:rFonts w:ascii="Arial" w:hAnsi="Arial" w:cs="Arial"/>
          <w:b/>
          <w:color w:val="0D0D0D" w:themeColor="text1" w:themeTint="F2"/>
          <w:sz w:val="24"/>
          <w:szCs w:val="24"/>
          <w:lang w:val="es-ES_tradnl"/>
        </w:rPr>
      </w:pPr>
      <w:r>
        <w:rPr>
          <w:rFonts w:ascii="Arial" w:hAnsi="Arial" w:cs="Arial"/>
          <w:b/>
          <w:color w:val="0D0D0D" w:themeColor="text1" w:themeTint="F2"/>
          <w:sz w:val="24"/>
          <w:szCs w:val="24"/>
          <w:lang w:val="es-ES_tradnl"/>
        </w:rPr>
        <w:t>E</w:t>
      </w:r>
      <w:r w:rsidR="0073572E" w:rsidRPr="00A802F5">
        <w:rPr>
          <w:rFonts w:ascii="Arial" w:hAnsi="Arial" w:cs="Arial"/>
          <w:b/>
          <w:color w:val="0D0D0D" w:themeColor="text1" w:themeTint="F2"/>
          <w:sz w:val="24"/>
          <w:szCs w:val="24"/>
          <w:lang w:val="es-ES_tradnl"/>
        </w:rPr>
        <w:t>nsayo de identidad</w:t>
      </w:r>
      <w:r w:rsidR="002C2143" w:rsidRPr="00A802F5">
        <w:rPr>
          <w:rFonts w:ascii="Arial" w:hAnsi="Arial" w:cs="Arial"/>
          <w:b/>
          <w:color w:val="0D0D0D" w:themeColor="text1" w:themeTint="F2"/>
          <w:sz w:val="24"/>
          <w:szCs w:val="24"/>
          <w:lang w:val="es-ES_tradnl"/>
        </w:rPr>
        <w:t>;</w:t>
      </w:r>
      <w:r w:rsidR="0073572E" w:rsidRPr="00A802F5">
        <w:rPr>
          <w:rFonts w:ascii="Arial" w:hAnsi="Arial" w:cs="Arial"/>
          <w:b/>
          <w:color w:val="0D0D0D" w:themeColor="text1" w:themeTint="F2"/>
          <w:sz w:val="24"/>
          <w:szCs w:val="24"/>
          <w:lang w:val="es-ES_tradnl"/>
        </w:rPr>
        <w:t xml:space="preserve"> MGA-FH 0050, </w:t>
      </w:r>
      <w:r w:rsidR="0062295F">
        <w:rPr>
          <w:rFonts w:ascii="Arial" w:hAnsi="Arial" w:cs="Arial"/>
          <w:b/>
          <w:color w:val="0D0D0D" w:themeColor="text1" w:themeTint="F2"/>
          <w:sz w:val="24"/>
          <w:szCs w:val="24"/>
          <w:lang w:val="es-ES_tradnl"/>
        </w:rPr>
        <w:t>CCF</w:t>
      </w:r>
      <w:r w:rsidR="0073572E" w:rsidRPr="00A802F5">
        <w:rPr>
          <w:rFonts w:ascii="Arial" w:hAnsi="Arial" w:cs="Arial"/>
          <w:b/>
          <w:color w:val="0D0D0D" w:themeColor="text1" w:themeTint="F2"/>
          <w:sz w:val="24"/>
          <w:szCs w:val="24"/>
          <w:lang w:val="es-ES_tradnl"/>
        </w:rPr>
        <w:t>.</w:t>
      </w:r>
    </w:p>
    <w:p w14:paraId="68D61E8B" w14:textId="77777777" w:rsidR="00CE6A80" w:rsidRDefault="002C2143" w:rsidP="00CE6A80">
      <w:pPr>
        <w:jc w:val="both"/>
        <w:rPr>
          <w:rFonts w:ascii="Arial" w:hAnsi="Arial" w:cs="Arial"/>
          <w:color w:val="0D0D0D" w:themeColor="text1" w:themeTint="F2"/>
          <w:sz w:val="24"/>
          <w:szCs w:val="24"/>
          <w:lang w:val="es-ES_tradnl"/>
        </w:rPr>
      </w:pPr>
      <w:r w:rsidRPr="00A802F5">
        <w:rPr>
          <w:rFonts w:ascii="Arial" w:hAnsi="Arial" w:cs="Arial"/>
          <w:color w:val="0D0D0D" w:themeColor="text1" w:themeTint="F2"/>
          <w:sz w:val="24"/>
          <w:szCs w:val="24"/>
          <w:lang w:val="es-ES_tradnl"/>
        </w:rPr>
        <w:t>La CCF se</w:t>
      </w:r>
      <w:r w:rsidR="0073572E" w:rsidRPr="00A802F5">
        <w:rPr>
          <w:rFonts w:ascii="Arial" w:hAnsi="Arial" w:cs="Arial"/>
          <w:color w:val="0D0D0D" w:themeColor="text1" w:themeTint="F2"/>
          <w:sz w:val="24"/>
          <w:szCs w:val="24"/>
          <w:lang w:val="es-ES_tradnl"/>
        </w:rPr>
        <w:t xml:space="preserve"> realizó en placas con base de aluminio gel de sílice 60 F</w:t>
      </w:r>
      <w:r w:rsidR="0073572E" w:rsidRPr="00A802F5">
        <w:rPr>
          <w:rFonts w:ascii="Arial" w:hAnsi="Arial" w:cs="Arial"/>
          <w:color w:val="0D0D0D" w:themeColor="text1" w:themeTint="F2"/>
          <w:sz w:val="24"/>
          <w:szCs w:val="24"/>
          <w:vertAlign w:val="subscript"/>
          <w:lang w:val="es-ES_tradnl"/>
        </w:rPr>
        <w:t>254</w:t>
      </w:r>
      <w:r w:rsidR="0073572E" w:rsidRPr="00A802F5">
        <w:rPr>
          <w:rFonts w:ascii="Arial" w:hAnsi="Arial" w:cs="Arial"/>
          <w:color w:val="0D0D0D" w:themeColor="text1" w:themeTint="F2"/>
          <w:sz w:val="24"/>
          <w:szCs w:val="24"/>
          <w:lang w:val="es-ES_tradnl"/>
        </w:rPr>
        <w:t xml:space="preserve"> con 0.2 mm de espesor de capa</w:t>
      </w:r>
      <w:r w:rsidR="009A5FFF" w:rsidRPr="00A802F5">
        <w:rPr>
          <w:rFonts w:ascii="Arial" w:hAnsi="Arial" w:cs="Arial"/>
          <w:color w:val="0D0D0D" w:themeColor="text1" w:themeTint="F2"/>
          <w:sz w:val="24"/>
          <w:szCs w:val="24"/>
          <w:lang w:val="es-ES_tradnl"/>
        </w:rPr>
        <w:t xml:space="preserve">. Se llevó a cabo un análisis cromatográfico de los extractos de las cápsulas hasta determinar la fase móvil óptima para la elución, una vez obtenida, </w:t>
      </w:r>
      <w:r w:rsidR="0073572E" w:rsidRPr="00A802F5">
        <w:rPr>
          <w:rFonts w:ascii="Arial" w:hAnsi="Arial" w:cs="Arial"/>
          <w:color w:val="0D0D0D" w:themeColor="text1" w:themeTint="F2"/>
          <w:sz w:val="24"/>
          <w:szCs w:val="24"/>
          <w:lang w:val="es-ES_tradnl"/>
        </w:rPr>
        <w:t xml:space="preserve">se procedió a evaluar todas las muestras con la misma técnica. Las cromatoplacas se observaron bajo luz UV y posteriormente se revelaron con ácido sulfúrico al 10% </w:t>
      </w:r>
    </w:p>
    <w:p w14:paraId="3BB2298E" w14:textId="795E9D2C" w:rsidR="009A5FFF" w:rsidRPr="00A802F5" w:rsidRDefault="005060A1" w:rsidP="00CE6A80">
      <w:pPr>
        <w:jc w:val="both"/>
        <w:rPr>
          <w:rFonts w:ascii="Arial" w:hAnsi="Arial" w:cs="Arial"/>
          <w:b/>
          <w:color w:val="0D0D0D" w:themeColor="text1" w:themeTint="F2"/>
          <w:sz w:val="24"/>
          <w:szCs w:val="24"/>
        </w:rPr>
      </w:pPr>
      <w:r w:rsidRPr="00A802F5">
        <w:rPr>
          <w:rFonts w:ascii="Arial" w:hAnsi="Arial" w:cs="Arial"/>
          <w:b/>
          <w:color w:val="0D0D0D" w:themeColor="text1" w:themeTint="F2"/>
          <w:sz w:val="24"/>
          <w:szCs w:val="24"/>
        </w:rPr>
        <w:t>Resultados y discusión</w:t>
      </w:r>
      <w:r w:rsidR="00825C3A" w:rsidRPr="00A802F5">
        <w:rPr>
          <w:rFonts w:ascii="Arial" w:hAnsi="Arial" w:cs="Arial"/>
          <w:b/>
          <w:color w:val="0D0D0D" w:themeColor="text1" w:themeTint="F2"/>
          <w:sz w:val="24"/>
          <w:szCs w:val="24"/>
        </w:rPr>
        <w:t xml:space="preserve">. </w:t>
      </w:r>
    </w:p>
    <w:p w14:paraId="3CF0FB09" w14:textId="77777777" w:rsidR="00825C3A" w:rsidRPr="00A802F5" w:rsidRDefault="00825C3A" w:rsidP="00825C3A">
      <w:pPr>
        <w:autoSpaceDE w:val="0"/>
        <w:autoSpaceDN w:val="0"/>
        <w:adjustRightInd w:val="0"/>
        <w:spacing w:after="0"/>
        <w:rPr>
          <w:rFonts w:ascii="Arial" w:hAnsi="Arial" w:cs="Arial"/>
          <w:color w:val="0D0D0D" w:themeColor="text1" w:themeTint="F2"/>
          <w:sz w:val="24"/>
          <w:szCs w:val="24"/>
        </w:rPr>
      </w:pPr>
    </w:p>
    <w:p w14:paraId="03DB68EE" w14:textId="77777777" w:rsidR="00825C3A" w:rsidRPr="00A802F5" w:rsidRDefault="00825C3A" w:rsidP="00825C3A">
      <w:pPr>
        <w:autoSpaceDE w:val="0"/>
        <w:autoSpaceDN w:val="0"/>
        <w:adjustRightInd w:val="0"/>
        <w:spacing w:after="0"/>
        <w:rPr>
          <w:rFonts w:ascii="Arial" w:hAnsi="Arial" w:cs="Arial"/>
          <w:color w:val="0D0D0D" w:themeColor="text1" w:themeTint="F2"/>
          <w:sz w:val="24"/>
          <w:szCs w:val="24"/>
        </w:rPr>
      </w:pPr>
      <w:r w:rsidRPr="00A802F5">
        <w:rPr>
          <w:rFonts w:ascii="Arial" w:hAnsi="Arial" w:cs="Arial"/>
          <w:color w:val="0D0D0D" w:themeColor="text1" w:themeTint="F2"/>
          <w:sz w:val="24"/>
          <w:szCs w:val="24"/>
        </w:rPr>
        <w:t>Al evaluar los parámetros establecidos en la norma antes mencionada, se obtuvo lo siguiente:</w:t>
      </w:r>
    </w:p>
    <w:p w14:paraId="13553214" w14:textId="77777777" w:rsidR="009A5FFF" w:rsidRPr="00A802F5" w:rsidRDefault="009A5FFF" w:rsidP="00825C3A">
      <w:pPr>
        <w:autoSpaceDE w:val="0"/>
        <w:autoSpaceDN w:val="0"/>
        <w:adjustRightInd w:val="0"/>
        <w:spacing w:after="0"/>
        <w:rPr>
          <w:rFonts w:ascii="Arial" w:hAnsi="Arial" w:cs="Arial"/>
          <w:color w:val="0D0D0D" w:themeColor="text1" w:themeTint="F2"/>
          <w:sz w:val="24"/>
          <w:szCs w:val="24"/>
        </w:rPr>
      </w:pPr>
    </w:p>
    <w:tbl>
      <w:tblPr>
        <w:tblStyle w:val="Tablaconcuadrcula"/>
        <w:tblW w:w="0" w:type="auto"/>
        <w:tblLook w:val="04A0" w:firstRow="1" w:lastRow="0" w:firstColumn="1" w:lastColumn="0" w:noHBand="0" w:noVBand="1"/>
      </w:tblPr>
      <w:tblGrid>
        <w:gridCol w:w="1992"/>
        <w:gridCol w:w="3698"/>
        <w:gridCol w:w="1839"/>
        <w:gridCol w:w="2091"/>
      </w:tblGrid>
      <w:tr w:rsidR="00A802F5" w:rsidRPr="00A802F5" w14:paraId="54E2AB09" w14:textId="77777777" w:rsidTr="0088493A">
        <w:tc>
          <w:tcPr>
            <w:tcW w:w="2273" w:type="dxa"/>
            <w:vAlign w:val="center"/>
          </w:tcPr>
          <w:p w14:paraId="466EE4E9" w14:textId="77777777" w:rsidR="00825C3A" w:rsidRPr="00A802F5" w:rsidRDefault="00825C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Frecuencia de análisis</w:t>
            </w:r>
          </w:p>
        </w:tc>
        <w:tc>
          <w:tcPr>
            <w:tcW w:w="2835" w:type="dxa"/>
            <w:vAlign w:val="center"/>
          </w:tcPr>
          <w:p w14:paraId="2750889A" w14:textId="77777777" w:rsidR="00825C3A" w:rsidRPr="00A802F5" w:rsidRDefault="00825C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eastAsia="Arial" w:hAnsi="Arial" w:cs="Arial"/>
                <w:color w:val="0D0D0D" w:themeColor="text1" w:themeTint="F2"/>
                <w:sz w:val="24"/>
                <w:szCs w:val="24"/>
              </w:rPr>
              <w:t>Apariencia/Descripción/Aspecto*</w:t>
            </w:r>
          </w:p>
        </w:tc>
        <w:tc>
          <w:tcPr>
            <w:tcW w:w="2252" w:type="dxa"/>
            <w:vAlign w:val="center"/>
          </w:tcPr>
          <w:p w14:paraId="57953A22" w14:textId="77777777" w:rsidR="00825C3A" w:rsidRPr="00A802F5" w:rsidRDefault="00825C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eastAsia="Arial" w:hAnsi="Arial" w:cs="Arial"/>
                <w:color w:val="0D0D0D" w:themeColor="text1" w:themeTint="F2"/>
                <w:sz w:val="24"/>
                <w:szCs w:val="24"/>
              </w:rPr>
              <w:t>Color**</w:t>
            </w:r>
          </w:p>
        </w:tc>
        <w:tc>
          <w:tcPr>
            <w:tcW w:w="2260" w:type="dxa"/>
            <w:vAlign w:val="center"/>
          </w:tcPr>
          <w:p w14:paraId="12E4216A" w14:textId="77777777" w:rsidR="00825C3A" w:rsidRPr="00A802F5" w:rsidRDefault="00825C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eastAsia="Arial" w:hAnsi="Arial" w:cs="Arial"/>
                <w:color w:val="0D0D0D" w:themeColor="text1" w:themeTint="F2"/>
                <w:sz w:val="24"/>
                <w:szCs w:val="24"/>
              </w:rPr>
              <w:t>Identidad</w:t>
            </w:r>
          </w:p>
        </w:tc>
      </w:tr>
      <w:tr w:rsidR="00A802F5" w:rsidRPr="00A802F5" w14:paraId="0290FD46" w14:textId="77777777" w:rsidTr="0088493A">
        <w:tc>
          <w:tcPr>
            <w:tcW w:w="2273" w:type="dxa"/>
            <w:vAlign w:val="center"/>
          </w:tcPr>
          <w:p w14:paraId="16C855B5" w14:textId="77777777" w:rsidR="0088493A" w:rsidRPr="00A802F5" w:rsidRDefault="008849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lang w:val="es-ES_tradnl"/>
              </w:rPr>
              <w:t>0</w:t>
            </w:r>
          </w:p>
        </w:tc>
        <w:tc>
          <w:tcPr>
            <w:tcW w:w="2835" w:type="dxa"/>
            <w:vAlign w:val="center"/>
          </w:tcPr>
          <w:p w14:paraId="1E8CC7A3" w14:textId="77777777" w:rsidR="0088493A" w:rsidRPr="00A802F5" w:rsidRDefault="008849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Style w:val="nfasis"/>
                <w:rFonts w:ascii="MS Gothic" w:eastAsia="MS Gothic" w:hAnsi="MS Gothic" w:cs="MS Gothic" w:hint="eastAsia"/>
                <w:bCs/>
                <w:i w:val="0"/>
                <w:iCs w:val="0"/>
                <w:color w:val="0D0D0D" w:themeColor="text1" w:themeTint="F2"/>
                <w:sz w:val="24"/>
                <w:szCs w:val="24"/>
                <w:shd w:val="clear" w:color="auto" w:fill="FFFFFF"/>
              </w:rPr>
              <w:t>✓</w:t>
            </w:r>
          </w:p>
        </w:tc>
        <w:tc>
          <w:tcPr>
            <w:tcW w:w="2252" w:type="dxa"/>
          </w:tcPr>
          <w:p w14:paraId="19D38B9D" w14:textId="77777777" w:rsidR="0088493A" w:rsidRPr="00A802F5" w:rsidRDefault="0088493A" w:rsidP="0088493A">
            <w:pPr>
              <w:jc w:val="center"/>
              <w:rPr>
                <w:rFonts w:ascii="Arial" w:hAnsi="Arial" w:cs="Arial"/>
                <w:color w:val="0D0D0D" w:themeColor="text1" w:themeTint="F2"/>
                <w:sz w:val="24"/>
                <w:szCs w:val="24"/>
              </w:rPr>
            </w:pPr>
            <w:r w:rsidRPr="00A802F5">
              <w:rPr>
                <w:rStyle w:val="nfasis"/>
                <w:rFonts w:ascii="MS Gothic" w:eastAsia="MS Gothic" w:hAnsi="MS Gothic" w:cs="MS Gothic" w:hint="eastAsia"/>
                <w:bCs/>
                <w:i w:val="0"/>
                <w:iCs w:val="0"/>
                <w:color w:val="0D0D0D" w:themeColor="text1" w:themeTint="F2"/>
                <w:sz w:val="24"/>
                <w:szCs w:val="24"/>
                <w:shd w:val="clear" w:color="auto" w:fill="FFFFFF"/>
              </w:rPr>
              <w:t>✓</w:t>
            </w:r>
          </w:p>
        </w:tc>
        <w:tc>
          <w:tcPr>
            <w:tcW w:w="2260" w:type="dxa"/>
            <w:vAlign w:val="center"/>
          </w:tcPr>
          <w:p w14:paraId="639FBFE1" w14:textId="77777777" w:rsidR="0088493A" w:rsidRPr="00A802F5" w:rsidRDefault="00720A36"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02/septiembre</w:t>
            </w:r>
          </w:p>
        </w:tc>
      </w:tr>
      <w:tr w:rsidR="00A802F5" w:rsidRPr="00A802F5" w14:paraId="0E8A5F9B" w14:textId="77777777" w:rsidTr="0088493A">
        <w:tc>
          <w:tcPr>
            <w:tcW w:w="2273" w:type="dxa"/>
            <w:vAlign w:val="center"/>
          </w:tcPr>
          <w:p w14:paraId="0F511470" w14:textId="77777777" w:rsidR="0088493A" w:rsidRPr="00A802F5" w:rsidRDefault="008849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1</w:t>
            </w:r>
          </w:p>
        </w:tc>
        <w:tc>
          <w:tcPr>
            <w:tcW w:w="2835" w:type="dxa"/>
            <w:vAlign w:val="center"/>
          </w:tcPr>
          <w:p w14:paraId="3489D466" w14:textId="77777777" w:rsidR="0088493A" w:rsidRPr="00A802F5" w:rsidRDefault="008849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Style w:val="nfasis"/>
                <w:rFonts w:ascii="MS Gothic" w:eastAsia="MS Gothic" w:hAnsi="MS Gothic" w:cs="MS Gothic" w:hint="eastAsia"/>
                <w:bCs/>
                <w:i w:val="0"/>
                <w:iCs w:val="0"/>
                <w:color w:val="0D0D0D" w:themeColor="text1" w:themeTint="F2"/>
                <w:sz w:val="24"/>
                <w:szCs w:val="24"/>
                <w:shd w:val="clear" w:color="auto" w:fill="FFFFFF"/>
              </w:rPr>
              <w:t>✓</w:t>
            </w:r>
          </w:p>
        </w:tc>
        <w:tc>
          <w:tcPr>
            <w:tcW w:w="2252" w:type="dxa"/>
          </w:tcPr>
          <w:p w14:paraId="26A61104" w14:textId="77777777" w:rsidR="0088493A" w:rsidRPr="00A802F5" w:rsidRDefault="0088493A" w:rsidP="0088493A">
            <w:pPr>
              <w:jc w:val="center"/>
              <w:rPr>
                <w:rFonts w:ascii="Arial" w:hAnsi="Arial" w:cs="Arial"/>
                <w:color w:val="0D0D0D" w:themeColor="text1" w:themeTint="F2"/>
                <w:sz w:val="24"/>
                <w:szCs w:val="24"/>
              </w:rPr>
            </w:pPr>
            <w:r w:rsidRPr="00A802F5">
              <w:rPr>
                <w:rStyle w:val="nfasis"/>
                <w:rFonts w:ascii="MS Gothic" w:eastAsia="MS Gothic" w:hAnsi="MS Gothic" w:cs="MS Gothic" w:hint="eastAsia"/>
                <w:bCs/>
                <w:i w:val="0"/>
                <w:iCs w:val="0"/>
                <w:color w:val="0D0D0D" w:themeColor="text1" w:themeTint="F2"/>
                <w:sz w:val="24"/>
                <w:szCs w:val="24"/>
                <w:shd w:val="clear" w:color="auto" w:fill="FFFFFF"/>
              </w:rPr>
              <w:t>✓</w:t>
            </w:r>
          </w:p>
        </w:tc>
        <w:tc>
          <w:tcPr>
            <w:tcW w:w="2260" w:type="dxa"/>
            <w:vAlign w:val="center"/>
          </w:tcPr>
          <w:p w14:paraId="4BE796A0" w14:textId="77777777" w:rsidR="0088493A" w:rsidRPr="00A802F5" w:rsidRDefault="00720A36"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05/octubre</w:t>
            </w:r>
          </w:p>
        </w:tc>
      </w:tr>
      <w:tr w:rsidR="00A802F5" w:rsidRPr="00A802F5" w14:paraId="3B773589" w14:textId="77777777" w:rsidTr="0088493A">
        <w:tc>
          <w:tcPr>
            <w:tcW w:w="2273" w:type="dxa"/>
            <w:vAlign w:val="center"/>
          </w:tcPr>
          <w:p w14:paraId="6D826ADD" w14:textId="77777777" w:rsidR="0088493A" w:rsidRPr="00A802F5" w:rsidRDefault="008849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lang w:val="es-ES_tradnl"/>
              </w:rPr>
              <w:t>3</w:t>
            </w:r>
          </w:p>
        </w:tc>
        <w:tc>
          <w:tcPr>
            <w:tcW w:w="2835" w:type="dxa"/>
            <w:vAlign w:val="center"/>
          </w:tcPr>
          <w:p w14:paraId="3F4A8AE9" w14:textId="77777777" w:rsidR="0088493A" w:rsidRPr="00A802F5" w:rsidRDefault="008849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Style w:val="nfasis"/>
                <w:rFonts w:ascii="MS Gothic" w:eastAsia="MS Gothic" w:hAnsi="MS Gothic" w:cs="MS Gothic" w:hint="eastAsia"/>
                <w:bCs/>
                <w:i w:val="0"/>
                <w:iCs w:val="0"/>
                <w:color w:val="0D0D0D" w:themeColor="text1" w:themeTint="F2"/>
                <w:sz w:val="24"/>
                <w:szCs w:val="24"/>
                <w:shd w:val="clear" w:color="auto" w:fill="FFFFFF"/>
              </w:rPr>
              <w:t>✓</w:t>
            </w:r>
          </w:p>
        </w:tc>
        <w:tc>
          <w:tcPr>
            <w:tcW w:w="2252" w:type="dxa"/>
          </w:tcPr>
          <w:p w14:paraId="29BFD268" w14:textId="77777777" w:rsidR="0088493A" w:rsidRPr="00A802F5" w:rsidRDefault="0088493A" w:rsidP="0088493A">
            <w:pPr>
              <w:jc w:val="center"/>
              <w:rPr>
                <w:rFonts w:ascii="Arial" w:hAnsi="Arial" w:cs="Arial"/>
                <w:color w:val="0D0D0D" w:themeColor="text1" w:themeTint="F2"/>
                <w:sz w:val="24"/>
                <w:szCs w:val="24"/>
              </w:rPr>
            </w:pPr>
            <w:r w:rsidRPr="00A802F5">
              <w:rPr>
                <w:rStyle w:val="nfasis"/>
                <w:rFonts w:ascii="MS Gothic" w:eastAsia="MS Gothic" w:hAnsi="MS Gothic" w:cs="MS Gothic" w:hint="eastAsia"/>
                <w:bCs/>
                <w:i w:val="0"/>
                <w:iCs w:val="0"/>
                <w:color w:val="0D0D0D" w:themeColor="text1" w:themeTint="F2"/>
                <w:sz w:val="24"/>
                <w:szCs w:val="24"/>
                <w:shd w:val="clear" w:color="auto" w:fill="FFFFFF"/>
              </w:rPr>
              <w:t>✓</w:t>
            </w:r>
          </w:p>
        </w:tc>
        <w:tc>
          <w:tcPr>
            <w:tcW w:w="2260" w:type="dxa"/>
            <w:vAlign w:val="center"/>
          </w:tcPr>
          <w:p w14:paraId="3EF79761" w14:textId="77777777" w:rsidR="0088493A" w:rsidRPr="00A802F5" w:rsidRDefault="00720A36"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0</w:t>
            </w:r>
            <w:r w:rsidRPr="00A802F5">
              <w:rPr>
                <w:rFonts w:ascii="Arial" w:hAnsi="Arial" w:cs="Arial"/>
                <w:color w:val="0D0D0D" w:themeColor="text1" w:themeTint="F2"/>
                <w:sz w:val="24"/>
                <w:szCs w:val="24"/>
                <w:lang w:val="es-ES_tradnl"/>
              </w:rPr>
              <w:t>8</w:t>
            </w:r>
            <w:r w:rsidRPr="00A802F5">
              <w:rPr>
                <w:rFonts w:ascii="Arial" w:hAnsi="Arial" w:cs="Arial"/>
                <w:color w:val="0D0D0D" w:themeColor="text1" w:themeTint="F2"/>
                <w:sz w:val="24"/>
                <w:szCs w:val="24"/>
              </w:rPr>
              <w:t>/diciembre</w:t>
            </w:r>
          </w:p>
        </w:tc>
      </w:tr>
      <w:tr w:rsidR="00A802F5" w:rsidRPr="00A802F5" w14:paraId="04655231" w14:textId="77777777" w:rsidTr="0088493A">
        <w:tc>
          <w:tcPr>
            <w:tcW w:w="2273" w:type="dxa"/>
            <w:vAlign w:val="center"/>
          </w:tcPr>
          <w:p w14:paraId="674DA5AE" w14:textId="77777777" w:rsidR="0088493A" w:rsidRPr="00A802F5" w:rsidRDefault="008849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lang w:val="es-ES_tradnl"/>
              </w:rPr>
              <w:t>6</w:t>
            </w:r>
          </w:p>
        </w:tc>
        <w:tc>
          <w:tcPr>
            <w:tcW w:w="2835" w:type="dxa"/>
            <w:vAlign w:val="center"/>
          </w:tcPr>
          <w:p w14:paraId="28D9E70B" w14:textId="77777777" w:rsidR="0088493A" w:rsidRPr="00A802F5" w:rsidRDefault="008849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Style w:val="nfasis"/>
                <w:rFonts w:ascii="MS Gothic" w:eastAsia="MS Gothic" w:hAnsi="MS Gothic" w:cs="MS Gothic" w:hint="eastAsia"/>
                <w:bCs/>
                <w:i w:val="0"/>
                <w:iCs w:val="0"/>
                <w:color w:val="0D0D0D" w:themeColor="text1" w:themeTint="F2"/>
                <w:sz w:val="24"/>
                <w:szCs w:val="24"/>
                <w:shd w:val="clear" w:color="auto" w:fill="FFFFFF"/>
              </w:rPr>
              <w:t>✓</w:t>
            </w:r>
          </w:p>
        </w:tc>
        <w:tc>
          <w:tcPr>
            <w:tcW w:w="2252" w:type="dxa"/>
          </w:tcPr>
          <w:p w14:paraId="4A815AE0" w14:textId="77777777" w:rsidR="0088493A" w:rsidRPr="00A802F5" w:rsidRDefault="0088493A" w:rsidP="0088493A">
            <w:pPr>
              <w:jc w:val="center"/>
              <w:rPr>
                <w:rFonts w:ascii="Arial" w:hAnsi="Arial" w:cs="Arial"/>
                <w:color w:val="0D0D0D" w:themeColor="text1" w:themeTint="F2"/>
                <w:sz w:val="24"/>
                <w:szCs w:val="24"/>
              </w:rPr>
            </w:pPr>
            <w:r w:rsidRPr="00A802F5">
              <w:rPr>
                <w:rStyle w:val="nfasis"/>
                <w:rFonts w:ascii="MS Gothic" w:eastAsia="MS Gothic" w:hAnsi="MS Gothic" w:cs="MS Gothic" w:hint="eastAsia"/>
                <w:bCs/>
                <w:i w:val="0"/>
                <w:iCs w:val="0"/>
                <w:color w:val="0D0D0D" w:themeColor="text1" w:themeTint="F2"/>
                <w:sz w:val="24"/>
                <w:szCs w:val="24"/>
                <w:shd w:val="clear" w:color="auto" w:fill="FFFFFF"/>
              </w:rPr>
              <w:t>✓</w:t>
            </w:r>
          </w:p>
        </w:tc>
        <w:tc>
          <w:tcPr>
            <w:tcW w:w="2260" w:type="dxa"/>
            <w:vAlign w:val="center"/>
          </w:tcPr>
          <w:p w14:paraId="5F8820F5" w14:textId="77777777" w:rsidR="0088493A" w:rsidRPr="00A802F5" w:rsidRDefault="00720A36"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06/marzo</w:t>
            </w:r>
          </w:p>
        </w:tc>
      </w:tr>
      <w:tr w:rsidR="00A802F5" w:rsidRPr="00A802F5" w14:paraId="237B1A57" w14:textId="77777777" w:rsidTr="0088493A">
        <w:tc>
          <w:tcPr>
            <w:tcW w:w="2273" w:type="dxa"/>
            <w:vAlign w:val="center"/>
          </w:tcPr>
          <w:p w14:paraId="3E0EC697" w14:textId="77777777" w:rsidR="0088493A" w:rsidRPr="00A802F5" w:rsidRDefault="008849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lang w:val="es-ES_tradnl"/>
              </w:rPr>
              <w:t>9</w:t>
            </w:r>
          </w:p>
        </w:tc>
        <w:tc>
          <w:tcPr>
            <w:tcW w:w="2835" w:type="dxa"/>
            <w:vAlign w:val="center"/>
          </w:tcPr>
          <w:p w14:paraId="57E56FD0" w14:textId="77777777" w:rsidR="0088493A" w:rsidRPr="00A802F5" w:rsidRDefault="0088493A"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Style w:val="nfasis"/>
                <w:rFonts w:ascii="MS Gothic" w:eastAsia="MS Gothic" w:hAnsi="MS Gothic" w:cs="MS Gothic" w:hint="eastAsia"/>
                <w:bCs/>
                <w:i w:val="0"/>
                <w:iCs w:val="0"/>
                <w:color w:val="0D0D0D" w:themeColor="text1" w:themeTint="F2"/>
                <w:sz w:val="24"/>
                <w:szCs w:val="24"/>
                <w:shd w:val="clear" w:color="auto" w:fill="FFFFFF"/>
              </w:rPr>
              <w:t>✓</w:t>
            </w:r>
          </w:p>
        </w:tc>
        <w:tc>
          <w:tcPr>
            <w:tcW w:w="2252" w:type="dxa"/>
          </w:tcPr>
          <w:p w14:paraId="17FF5A0D" w14:textId="77777777" w:rsidR="0088493A" w:rsidRPr="00A802F5" w:rsidRDefault="0088493A" w:rsidP="0088493A">
            <w:pPr>
              <w:jc w:val="center"/>
              <w:rPr>
                <w:rFonts w:ascii="Arial" w:hAnsi="Arial" w:cs="Arial"/>
                <w:color w:val="0D0D0D" w:themeColor="text1" w:themeTint="F2"/>
                <w:sz w:val="24"/>
                <w:szCs w:val="24"/>
              </w:rPr>
            </w:pPr>
            <w:r w:rsidRPr="00A802F5">
              <w:rPr>
                <w:rStyle w:val="nfasis"/>
                <w:rFonts w:ascii="MS Gothic" w:eastAsia="MS Gothic" w:hAnsi="MS Gothic" w:cs="MS Gothic" w:hint="eastAsia"/>
                <w:bCs/>
                <w:i w:val="0"/>
                <w:iCs w:val="0"/>
                <w:color w:val="0D0D0D" w:themeColor="text1" w:themeTint="F2"/>
                <w:sz w:val="24"/>
                <w:szCs w:val="24"/>
                <w:shd w:val="clear" w:color="auto" w:fill="FFFFFF"/>
              </w:rPr>
              <w:t>✓</w:t>
            </w:r>
          </w:p>
        </w:tc>
        <w:tc>
          <w:tcPr>
            <w:tcW w:w="2260" w:type="dxa"/>
            <w:vAlign w:val="center"/>
          </w:tcPr>
          <w:p w14:paraId="3A2E763F" w14:textId="77777777" w:rsidR="0088493A" w:rsidRPr="00A802F5" w:rsidRDefault="00720A36" w:rsidP="00825C3A">
            <w:pPr>
              <w:autoSpaceDE w:val="0"/>
              <w:autoSpaceDN w:val="0"/>
              <w:adjustRightInd w:val="0"/>
              <w:spacing w:line="276" w:lineRule="auto"/>
              <w:jc w:val="center"/>
              <w:rPr>
                <w:rFonts w:ascii="Arial" w:hAnsi="Arial" w:cs="Arial"/>
                <w:color w:val="0D0D0D" w:themeColor="text1" w:themeTint="F2"/>
                <w:sz w:val="24"/>
                <w:szCs w:val="24"/>
              </w:rPr>
            </w:pPr>
            <w:r w:rsidRPr="00A802F5">
              <w:rPr>
                <w:rFonts w:ascii="Arial" w:hAnsi="Arial" w:cs="Arial"/>
                <w:color w:val="0D0D0D" w:themeColor="text1" w:themeTint="F2"/>
                <w:sz w:val="24"/>
                <w:szCs w:val="24"/>
              </w:rPr>
              <w:t>05/junio</w:t>
            </w:r>
          </w:p>
        </w:tc>
      </w:tr>
    </w:tbl>
    <w:p w14:paraId="6E8F6DE7" w14:textId="77777777" w:rsidR="00825C3A" w:rsidRPr="00A802F5" w:rsidRDefault="00825C3A" w:rsidP="00CE6A80">
      <w:pPr>
        <w:spacing w:after="0" w:line="240" w:lineRule="auto"/>
        <w:jc w:val="both"/>
        <w:rPr>
          <w:rFonts w:ascii="Arial" w:eastAsia="Arial" w:hAnsi="Arial" w:cs="Arial"/>
          <w:color w:val="0D0D0D" w:themeColor="text1" w:themeTint="F2"/>
          <w:sz w:val="24"/>
          <w:szCs w:val="24"/>
        </w:rPr>
      </w:pPr>
      <w:r w:rsidRPr="00A802F5">
        <w:rPr>
          <w:rFonts w:ascii="Arial" w:hAnsi="Arial" w:cs="Arial"/>
          <w:color w:val="0D0D0D" w:themeColor="text1" w:themeTint="F2"/>
          <w:sz w:val="24"/>
          <w:szCs w:val="24"/>
        </w:rPr>
        <w:t>*</w:t>
      </w:r>
      <w:r w:rsidRPr="00A802F5">
        <w:rPr>
          <w:rFonts w:ascii="Arial" w:eastAsia="Arial" w:hAnsi="Arial" w:cs="Arial"/>
          <w:color w:val="0D0D0D" w:themeColor="text1" w:themeTint="F2"/>
          <w:sz w:val="24"/>
          <w:szCs w:val="24"/>
        </w:rPr>
        <w:t>Apariencia: Cápsulas lisas, un poco rígidas, a la vista se observa un completo llenado de las mismas.</w:t>
      </w:r>
    </w:p>
    <w:p w14:paraId="0F78304E" w14:textId="77777777" w:rsidR="00825C3A" w:rsidRPr="00A802F5" w:rsidRDefault="00825C3A" w:rsidP="00CE6A80">
      <w:pPr>
        <w:spacing w:after="0" w:line="240" w:lineRule="auto"/>
        <w:jc w:val="both"/>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lastRenderedPageBreak/>
        <w:t xml:space="preserve">Descripción: Cápsulas de gelatina dura, tamaño No.1 </w:t>
      </w:r>
    </w:p>
    <w:p w14:paraId="10E1DDB5" w14:textId="77777777" w:rsidR="00825C3A" w:rsidRPr="00A802F5" w:rsidRDefault="00825C3A" w:rsidP="00CE6A80">
      <w:pPr>
        <w:spacing w:after="0" w:line="240" w:lineRule="auto"/>
        <w:jc w:val="both"/>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t xml:space="preserve">Aspecto: Correcto cierre, contenido en forma de polvo en tamaño irregular. </w:t>
      </w:r>
    </w:p>
    <w:p w14:paraId="4403132A" w14:textId="77777777" w:rsidR="009A5FFF" w:rsidRPr="00A802F5" w:rsidRDefault="00825C3A" w:rsidP="00CE6A80">
      <w:pPr>
        <w:spacing w:after="0" w:line="240" w:lineRule="auto"/>
        <w:jc w:val="both"/>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t>**Color: Cápsula: Transparente opaco; Contenido: Beige arenoso.</w:t>
      </w:r>
    </w:p>
    <w:p w14:paraId="450304C1" w14:textId="77777777" w:rsidR="0088493A" w:rsidRPr="00A802F5" w:rsidRDefault="0088493A" w:rsidP="00825C3A">
      <w:pPr>
        <w:jc w:val="both"/>
        <w:rPr>
          <w:rFonts w:ascii="Arial" w:eastAsia="Arial" w:hAnsi="Arial" w:cs="Arial"/>
          <w:color w:val="0D0D0D" w:themeColor="text1" w:themeTint="F2"/>
          <w:sz w:val="24"/>
          <w:szCs w:val="24"/>
        </w:rPr>
      </w:pPr>
    </w:p>
    <w:p w14:paraId="1FDA396E" w14:textId="77777777" w:rsidR="00720A36" w:rsidRPr="00A802F5" w:rsidRDefault="0088493A" w:rsidP="0088493A">
      <w:pPr>
        <w:jc w:val="both"/>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t>Al evaluar el sistema contenedor-cierre:</w:t>
      </w:r>
      <w:r w:rsidR="00720A36" w:rsidRPr="00A802F5">
        <w:rPr>
          <w:rFonts w:ascii="Arial" w:eastAsia="Arial" w:hAnsi="Arial" w:cs="Arial"/>
          <w:color w:val="0D0D0D" w:themeColor="text1" w:themeTint="F2"/>
          <w:sz w:val="24"/>
          <w:szCs w:val="24"/>
        </w:rPr>
        <w:t xml:space="preserve"> </w:t>
      </w:r>
    </w:p>
    <w:p w14:paraId="11D9F839" w14:textId="77777777" w:rsidR="0088493A" w:rsidRPr="00A802F5" w:rsidRDefault="00720A36" w:rsidP="0088493A">
      <w:pPr>
        <w:jc w:val="both"/>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t xml:space="preserve">Sólo presenta envase primario: </w:t>
      </w:r>
      <w:r w:rsidR="0088493A" w:rsidRPr="00A802F5">
        <w:rPr>
          <w:rFonts w:ascii="Arial" w:eastAsia="Arial" w:hAnsi="Arial" w:cs="Arial"/>
          <w:color w:val="0D0D0D" w:themeColor="text1" w:themeTint="F2"/>
          <w:sz w:val="24"/>
          <w:szCs w:val="24"/>
        </w:rPr>
        <w:t xml:space="preserve">Frasco de plástico de tamaño mediano con su respectiva etiqueta, color ámbar, que contiene 2 sellos de seguridad. </w:t>
      </w:r>
    </w:p>
    <w:p w14:paraId="72144C37" w14:textId="77777777" w:rsidR="0088493A" w:rsidRPr="00A802F5" w:rsidRDefault="0088493A" w:rsidP="0088493A">
      <w:pPr>
        <w:jc w:val="both"/>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t>Forma farmacéutica: Cápsulas (400mg). Presentación con 150 cápsulas.</w:t>
      </w:r>
    </w:p>
    <w:p w14:paraId="0FBCCBF3" w14:textId="77777777" w:rsidR="009A5FFF" w:rsidRPr="00A802F5" w:rsidRDefault="0088493A" w:rsidP="003B1500">
      <w:pPr>
        <w:jc w:val="both"/>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t>Ingred</w:t>
      </w:r>
      <w:r w:rsidR="003B1500" w:rsidRPr="00A802F5">
        <w:rPr>
          <w:rFonts w:ascii="Arial" w:eastAsia="Arial" w:hAnsi="Arial" w:cs="Arial"/>
          <w:color w:val="0D0D0D" w:themeColor="text1" w:themeTint="F2"/>
          <w:sz w:val="24"/>
          <w:szCs w:val="24"/>
        </w:rPr>
        <w:t xml:space="preserve">ientes marcados en la etiqueta: </w:t>
      </w:r>
      <w:r w:rsidRPr="00A802F5">
        <w:rPr>
          <w:rFonts w:ascii="Arial" w:eastAsia="Arial" w:hAnsi="Arial" w:cs="Arial"/>
          <w:color w:val="0D0D0D" w:themeColor="text1" w:themeTint="F2"/>
          <w:sz w:val="24"/>
          <w:szCs w:val="24"/>
        </w:rPr>
        <w:t xml:space="preserve">Flor de peña </w:t>
      </w:r>
      <w:r w:rsidRPr="00A802F5">
        <w:rPr>
          <w:rFonts w:ascii="Arial" w:eastAsia="Arial" w:hAnsi="Arial" w:cs="Arial"/>
          <w:i/>
          <w:color w:val="0D0D0D" w:themeColor="text1" w:themeTint="F2"/>
          <w:sz w:val="24"/>
          <w:szCs w:val="24"/>
        </w:rPr>
        <w:t xml:space="preserve">(Hieracium fendleri), </w:t>
      </w:r>
      <w:r w:rsidRPr="00A802F5">
        <w:rPr>
          <w:rFonts w:ascii="Arial" w:eastAsia="Arial" w:hAnsi="Arial" w:cs="Arial"/>
          <w:color w:val="0D0D0D" w:themeColor="text1" w:themeTint="F2"/>
          <w:sz w:val="24"/>
          <w:szCs w:val="24"/>
        </w:rPr>
        <w:t xml:space="preserve">Cola de caballo </w:t>
      </w:r>
      <w:r w:rsidRPr="00A802F5">
        <w:rPr>
          <w:rFonts w:ascii="Arial" w:eastAsia="Arial" w:hAnsi="Arial" w:cs="Arial"/>
          <w:i/>
          <w:color w:val="0D0D0D" w:themeColor="text1" w:themeTint="F2"/>
          <w:sz w:val="24"/>
          <w:szCs w:val="24"/>
        </w:rPr>
        <w:t xml:space="preserve">(Equisetum arvense), </w:t>
      </w:r>
      <w:r w:rsidRPr="00A802F5">
        <w:rPr>
          <w:rFonts w:ascii="Arial" w:eastAsia="Arial" w:hAnsi="Arial" w:cs="Arial"/>
          <w:color w:val="0D0D0D" w:themeColor="text1" w:themeTint="F2"/>
          <w:sz w:val="24"/>
          <w:szCs w:val="24"/>
        </w:rPr>
        <w:t xml:space="preserve">Tres costillas </w:t>
      </w:r>
      <w:r w:rsidR="003B1500" w:rsidRPr="00A802F5">
        <w:rPr>
          <w:rFonts w:ascii="Arial" w:eastAsia="Arial" w:hAnsi="Arial" w:cs="Arial"/>
          <w:i/>
          <w:color w:val="0D0D0D" w:themeColor="text1" w:themeTint="F2"/>
          <w:sz w:val="24"/>
          <w:szCs w:val="24"/>
        </w:rPr>
        <w:t xml:space="preserve">(Capsella bursa-pastoris) y </w:t>
      </w:r>
      <w:r w:rsidRPr="00A802F5">
        <w:rPr>
          <w:rFonts w:ascii="Arial" w:eastAsia="Arial" w:hAnsi="Arial" w:cs="Arial"/>
          <w:color w:val="0D0D0D" w:themeColor="text1" w:themeTint="F2"/>
          <w:sz w:val="24"/>
          <w:szCs w:val="24"/>
        </w:rPr>
        <w:t xml:space="preserve">Guásima </w:t>
      </w:r>
      <w:r w:rsidRPr="00A802F5">
        <w:rPr>
          <w:rFonts w:ascii="Arial" w:eastAsia="Arial" w:hAnsi="Arial" w:cs="Arial"/>
          <w:i/>
          <w:color w:val="0D0D0D" w:themeColor="text1" w:themeTint="F2"/>
          <w:sz w:val="24"/>
          <w:szCs w:val="24"/>
        </w:rPr>
        <w:t>(Guazuma ulmifolia).</w:t>
      </w:r>
    </w:p>
    <w:p w14:paraId="58E8E764" w14:textId="77777777" w:rsidR="009A5FFF" w:rsidRPr="00A802F5" w:rsidRDefault="009A5FFF" w:rsidP="00825C3A">
      <w:pPr>
        <w:spacing w:after="0"/>
        <w:contextualSpacing/>
        <w:jc w:val="both"/>
        <w:rPr>
          <w:rFonts w:ascii="Arial" w:eastAsia="Arial" w:hAnsi="Arial" w:cs="Arial"/>
          <w:color w:val="0D0D0D" w:themeColor="text1" w:themeTint="F2"/>
          <w:sz w:val="24"/>
          <w:szCs w:val="24"/>
        </w:rPr>
      </w:pPr>
    </w:p>
    <w:p w14:paraId="7A01D76B" w14:textId="77777777" w:rsidR="003B1500" w:rsidRPr="00A802F5" w:rsidRDefault="003B1500" w:rsidP="003B1500">
      <w:pPr>
        <w:jc w:val="both"/>
        <w:rPr>
          <w:rFonts w:ascii="Arial" w:hAnsi="Arial" w:cs="Arial"/>
          <w:color w:val="0D0D0D" w:themeColor="text1" w:themeTint="F2"/>
          <w:sz w:val="24"/>
          <w:szCs w:val="24"/>
          <w:lang w:val="es-ES_tradnl"/>
        </w:rPr>
      </w:pPr>
      <w:r w:rsidRPr="00A802F5">
        <w:rPr>
          <w:rFonts w:ascii="Arial" w:hAnsi="Arial" w:cs="Arial"/>
          <w:color w:val="0D0D0D" w:themeColor="text1" w:themeTint="F2"/>
          <w:sz w:val="24"/>
          <w:szCs w:val="24"/>
          <w:lang w:val="es-ES_tradnl"/>
        </w:rPr>
        <w:t xml:space="preserve">Al analizar el RH de acuerdo a lo recomendado por el MGA-FH 0040, se identificaron los 4 de los componentes mayoritarios reportados como contenidos en el MV-i: </w:t>
      </w:r>
      <w:proofErr w:type="spellStart"/>
      <w:r w:rsidRPr="00A802F5">
        <w:rPr>
          <w:rFonts w:ascii="Arial" w:hAnsi="Arial" w:cs="Arial"/>
          <w:color w:val="0D0D0D" w:themeColor="text1" w:themeTint="F2"/>
          <w:sz w:val="24"/>
          <w:szCs w:val="24"/>
          <w:lang w:val="es-ES_tradnl"/>
        </w:rPr>
        <w:t>Guásima</w:t>
      </w:r>
      <w:proofErr w:type="spellEnd"/>
      <w:r w:rsidRPr="00A802F5">
        <w:rPr>
          <w:rFonts w:ascii="Arial" w:hAnsi="Arial" w:cs="Arial"/>
          <w:color w:val="0D0D0D" w:themeColor="text1" w:themeTint="F2"/>
          <w:sz w:val="24"/>
          <w:szCs w:val="24"/>
          <w:lang w:val="es-ES_tradnl"/>
        </w:rPr>
        <w:t xml:space="preserve"> (</w:t>
      </w:r>
      <w:proofErr w:type="spellStart"/>
      <w:r w:rsidRPr="00A802F5">
        <w:rPr>
          <w:rFonts w:ascii="Arial" w:hAnsi="Arial" w:cs="Arial"/>
          <w:i/>
          <w:color w:val="0D0D0D" w:themeColor="text1" w:themeTint="F2"/>
          <w:sz w:val="24"/>
          <w:szCs w:val="24"/>
          <w:lang w:val="es-ES_tradnl"/>
        </w:rPr>
        <w:t>Guazuma</w:t>
      </w:r>
      <w:proofErr w:type="spellEnd"/>
      <w:r w:rsidRPr="00A802F5">
        <w:rPr>
          <w:rFonts w:ascii="Arial" w:hAnsi="Arial" w:cs="Arial"/>
          <w:i/>
          <w:color w:val="0D0D0D" w:themeColor="text1" w:themeTint="F2"/>
          <w:sz w:val="24"/>
          <w:szCs w:val="24"/>
          <w:lang w:val="es-ES_tradnl"/>
        </w:rPr>
        <w:t xml:space="preserve"> </w:t>
      </w:r>
      <w:proofErr w:type="spellStart"/>
      <w:r w:rsidRPr="00A802F5">
        <w:rPr>
          <w:rFonts w:ascii="Arial" w:hAnsi="Arial" w:cs="Arial"/>
          <w:i/>
          <w:color w:val="0D0D0D" w:themeColor="text1" w:themeTint="F2"/>
          <w:sz w:val="24"/>
          <w:szCs w:val="24"/>
          <w:lang w:val="es-ES_tradnl"/>
        </w:rPr>
        <w:t>ulmifolia</w:t>
      </w:r>
      <w:proofErr w:type="spellEnd"/>
      <w:r w:rsidRPr="00A802F5">
        <w:rPr>
          <w:rFonts w:ascii="Arial" w:hAnsi="Arial" w:cs="Arial"/>
          <w:i/>
          <w:color w:val="0D0D0D" w:themeColor="text1" w:themeTint="F2"/>
          <w:sz w:val="24"/>
          <w:szCs w:val="24"/>
          <w:lang w:val="es-ES_tradnl"/>
        </w:rPr>
        <w:t xml:space="preserve"> Lam;</w:t>
      </w:r>
      <w:r w:rsidRPr="00A802F5">
        <w:rPr>
          <w:rFonts w:ascii="Arial" w:hAnsi="Arial" w:cs="Arial"/>
          <w:color w:val="0D0D0D" w:themeColor="text1" w:themeTint="F2"/>
          <w:sz w:val="24"/>
          <w:szCs w:val="24"/>
          <w:lang w:val="es-ES_tradnl"/>
        </w:rPr>
        <w:t xml:space="preserve"> </w:t>
      </w:r>
      <w:proofErr w:type="spellStart"/>
      <w:r w:rsidRPr="00A802F5">
        <w:rPr>
          <w:rFonts w:ascii="Arial" w:hAnsi="Arial" w:cs="Arial"/>
          <w:color w:val="0D0D0D" w:themeColor="text1" w:themeTint="F2"/>
          <w:sz w:val="24"/>
          <w:szCs w:val="24"/>
          <w:lang w:val="es-ES_tradnl"/>
        </w:rPr>
        <w:t>Sterculiaceae</w:t>
      </w:r>
      <w:proofErr w:type="spellEnd"/>
      <w:r w:rsidRPr="00A802F5">
        <w:rPr>
          <w:rFonts w:ascii="Arial" w:hAnsi="Arial" w:cs="Arial"/>
          <w:color w:val="0D0D0D" w:themeColor="text1" w:themeTint="F2"/>
          <w:sz w:val="24"/>
          <w:szCs w:val="24"/>
          <w:lang w:val="es-ES_tradnl"/>
        </w:rPr>
        <w:t>/</w:t>
      </w:r>
      <w:proofErr w:type="spellStart"/>
      <w:r w:rsidRPr="00A802F5">
        <w:rPr>
          <w:rFonts w:ascii="Arial" w:hAnsi="Arial" w:cs="Arial"/>
          <w:color w:val="0D0D0D" w:themeColor="text1" w:themeTint="F2"/>
          <w:sz w:val="24"/>
          <w:szCs w:val="24"/>
          <w:lang w:val="es-ES_tradnl"/>
        </w:rPr>
        <w:t>Malvaceae</w:t>
      </w:r>
      <w:proofErr w:type="spellEnd"/>
      <w:r w:rsidRPr="00A802F5">
        <w:rPr>
          <w:rFonts w:ascii="Arial" w:hAnsi="Arial" w:cs="Arial"/>
          <w:i/>
          <w:color w:val="0D0D0D" w:themeColor="text1" w:themeTint="F2"/>
          <w:sz w:val="24"/>
          <w:szCs w:val="24"/>
          <w:lang w:val="es-ES_tradnl"/>
        </w:rPr>
        <w:t xml:space="preserve"> </w:t>
      </w:r>
      <w:proofErr w:type="spellStart"/>
      <w:r w:rsidRPr="00A802F5">
        <w:rPr>
          <w:rFonts w:ascii="Arial" w:hAnsi="Arial" w:cs="Arial"/>
          <w:i/>
          <w:color w:val="0D0D0D" w:themeColor="text1" w:themeTint="F2"/>
          <w:sz w:val="24"/>
          <w:szCs w:val="24"/>
          <w:lang w:val="es-ES_tradnl"/>
        </w:rPr>
        <w:t>Juss</w:t>
      </w:r>
      <w:proofErr w:type="spellEnd"/>
      <w:r w:rsidRPr="00A802F5">
        <w:rPr>
          <w:rFonts w:ascii="Arial" w:hAnsi="Arial" w:cs="Arial"/>
          <w:color w:val="0D0D0D" w:themeColor="text1" w:themeTint="F2"/>
          <w:sz w:val="24"/>
          <w:szCs w:val="24"/>
          <w:lang w:val="es-ES_tradnl"/>
        </w:rPr>
        <w:t>), Cola de caballo (</w:t>
      </w:r>
      <w:proofErr w:type="spellStart"/>
      <w:r w:rsidRPr="00A802F5">
        <w:rPr>
          <w:rFonts w:ascii="Arial" w:hAnsi="Arial" w:cs="Arial"/>
          <w:i/>
          <w:color w:val="0D0D0D" w:themeColor="text1" w:themeTint="F2"/>
          <w:sz w:val="24"/>
          <w:szCs w:val="24"/>
          <w:lang w:val="es-ES_tradnl"/>
        </w:rPr>
        <w:t>Equisetum</w:t>
      </w:r>
      <w:proofErr w:type="spellEnd"/>
      <w:r w:rsidRPr="00A802F5">
        <w:rPr>
          <w:rFonts w:ascii="Arial" w:hAnsi="Arial" w:cs="Arial"/>
          <w:i/>
          <w:color w:val="0D0D0D" w:themeColor="text1" w:themeTint="F2"/>
          <w:sz w:val="24"/>
          <w:szCs w:val="24"/>
          <w:lang w:val="es-ES_tradnl"/>
        </w:rPr>
        <w:t xml:space="preserve"> </w:t>
      </w:r>
      <w:proofErr w:type="spellStart"/>
      <w:r w:rsidRPr="00A802F5">
        <w:rPr>
          <w:rFonts w:ascii="Arial" w:hAnsi="Arial" w:cs="Arial"/>
          <w:i/>
          <w:color w:val="0D0D0D" w:themeColor="text1" w:themeTint="F2"/>
          <w:sz w:val="24"/>
          <w:szCs w:val="24"/>
          <w:lang w:val="es-ES_tradnl"/>
        </w:rPr>
        <w:t>hyemale</w:t>
      </w:r>
      <w:proofErr w:type="spellEnd"/>
      <w:r w:rsidRPr="00A802F5">
        <w:rPr>
          <w:rFonts w:ascii="Arial" w:hAnsi="Arial" w:cs="Arial"/>
          <w:i/>
          <w:color w:val="0D0D0D" w:themeColor="text1" w:themeTint="F2"/>
          <w:sz w:val="24"/>
          <w:szCs w:val="24"/>
          <w:lang w:val="es-ES_tradnl"/>
        </w:rPr>
        <w:t xml:space="preserve"> L;</w:t>
      </w:r>
      <w:r w:rsidRPr="00A802F5">
        <w:rPr>
          <w:rFonts w:ascii="Arial" w:hAnsi="Arial" w:cs="Arial"/>
          <w:color w:val="0D0D0D" w:themeColor="text1" w:themeTint="F2"/>
          <w:sz w:val="24"/>
          <w:szCs w:val="24"/>
          <w:lang w:val="es-ES_tradnl"/>
        </w:rPr>
        <w:t xml:space="preserve"> </w:t>
      </w:r>
      <w:proofErr w:type="spellStart"/>
      <w:r w:rsidRPr="00A802F5">
        <w:rPr>
          <w:rFonts w:ascii="Arial" w:hAnsi="Arial" w:cs="Arial"/>
          <w:color w:val="0D0D0D" w:themeColor="text1" w:themeTint="F2"/>
          <w:sz w:val="24"/>
          <w:szCs w:val="24"/>
          <w:lang w:val="es-ES_tradnl"/>
        </w:rPr>
        <w:t>Equisetaceae</w:t>
      </w:r>
      <w:proofErr w:type="spellEnd"/>
      <w:r w:rsidRPr="00A802F5">
        <w:rPr>
          <w:rFonts w:ascii="Arial" w:hAnsi="Arial" w:cs="Arial"/>
          <w:color w:val="0D0D0D" w:themeColor="text1" w:themeTint="F2"/>
          <w:sz w:val="24"/>
          <w:szCs w:val="24"/>
          <w:lang w:val="es-ES_tradnl"/>
        </w:rPr>
        <w:t>), Tres costillas (</w:t>
      </w:r>
      <w:proofErr w:type="spellStart"/>
      <w:r w:rsidRPr="00A802F5">
        <w:rPr>
          <w:rFonts w:ascii="Arial" w:hAnsi="Arial" w:cs="Arial"/>
          <w:i/>
          <w:color w:val="0D0D0D" w:themeColor="text1" w:themeTint="F2"/>
          <w:sz w:val="24"/>
          <w:szCs w:val="24"/>
          <w:lang w:val="es-ES_tradnl"/>
        </w:rPr>
        <w:t>Serjania</w:t>
      </w:r>
      <w:proofErr w:type="spellEnd"/>
      <w:r w:rsidRPr="00A802F5">
        <w:rPr>
          <w:rFonts w:ascii="Arial" w:hAnsi="Arial" w:cs="Arial"/>
          <w:i/>
          <w:color w:val="0D0D0D" w:themeColor="text1" w:themeTint="F2"/>
          <w:sz w:val="24"/>
          <w:szCs w:val="24"/>
          <w:lang w:val="es-ES_tradnl"/>
        </w:rPr>
        <w:t xml:space="preserve"> </w:t>
      </w:r>
      <w:proofErr w:type="spellStart"/>
      <w:r w:rsidRPr="00A802F5">
        <w:rPr>
          <w:rFonts w:ascii="Arial" w:hAnsi="Arial" w:cs="Arial"/>
          <w:i/>
          <w:color w:val="0D0D0D" w:themeColor="text1" w:themeTint="F2"/>
          <w:sz w:val="24"/>
          <w:szCs w:val="24"/>
          <w:lang w:val="es-ES_tradnl"/>
        </w:rPr>
        <w:t>triquetra</w:t>
      </w:r>
      <w:proofErr w:type="spellEnd"/>
      <w:r w:rsidRPr="00A802F5">
        <w:rPr>
          <w:rFonts w:ascii="Arial" w:hAnsi="Arial" w:cs="Arial"/>
          <w:i/>
          <w:color w:val="0D0D0D" w:themeColor="text1" w:themeTint="F2"/>
          <w:sz w:val="24"/>
          <w:szCs w:val="24"/>
          <w:lang w:val="es-ES_tradnl"/>
        </w:rPr>
        <w:t>;</w:t>
      </w:r>
      <w:r w:rsidRPr="00A802F5">
        <w:rPr>
          <w:rFonts w:ascii="Arial" w:hAnsi="Arial" w:cs="Arial"/>
          <w:color w:val="0D0D0D" w:themeColor="text1" w:themeTint="F2"/>
          <w:sz w:val="24"/>
          <w:szCs w:val="24"/>
          <w:lang w:val="es-ES_tradnl"/>
        </w:rPr>
        <w:t xml:space="preserve"> </w:t>
      </w:r>
      <w:proofErr w:type="spellStart"/>
      <w:r w:rsidRPr="00A802F5">
        <w:rPr>
          <w:rFonts w:ascii="Arial" w:hAnsi="Arial" w:cs="Arial"/>
          <w:color w:val="0D0D0D" w:themeColor="text1" w:themeTint="F2"/>
          <w:sz w:val="24"/>
          <w:szCs w:val="24"/>
          <w:lang w:val="es-ES_tradnl"/>
        </w:rPr>
        <w:t>Sapindaceae</w:t>
      </w:r>
      <w:proofErr w:type="spellEnd"/>
      <w:r w:rsidRPr="00A802F5">
        <w:rPr>
          <w:rFonts w:ascii="Arial" w:hAnsi="Arial" w:cs="Arial"/>
          <w:color w:val="0D0D0D" w:themeColor="text1" w:themeTint="F2"/>
          <w:sz w:val="24"/>
          <w:szCs w:val="24"/>
          <w:lang w:val="es-ES_tradnl"/>
        </w:rPr>
        <w:t>) y Pingüica (</w:t>
      </w:r>
      <w:proofErr w:type="spellStart"/>
      <w:r w:rsidRPr="00A802F5">
        <w:rPr>
          <w:rFonts w:ascii="Arial" w:hAnsi="Arial" w:cs="Arial"/>
          <w:i/>
          <w:color w:val="0D0D0D" w:themeColor="text1" w:themeTint="F2"/>
          <w:sz w:val="24"/>
          <w:szCs w:val="24"/>
          <w:lang w:val="es-ES_tradnl"/>
        </w:rPr>
        <w:t>Arctostaphylos</w:t>
      </w:r>
      <w:proofErr w:type="spellEnd"/>
      <w:r w:rsidRPr="00A802F5">
        <w:rPr>
          <w:rFonts w:ascii="Arial" w:hAnsi="Arial" w:cs="Arial"/>
          <w:i/>
          <w:color w:val="0D0D0D" w:themeColor="text1" w:themeTint="F2"/>
          <w:sz w:val="24"/>
          <w:szCs w:val="24"/>
          <w:lang w:val="es-ES_tradnl"/>
        </w:rPr>
        <w:t xml:space="preserve"> </w:t>
      </w:r>
      <w:proofErr w:type="spellStart"/>
      <w:r w:rsidRPr="00A802F5">
        <w:rPr>
          <w:rFonts w:ascii="Arial" w:hAnsi="Arial" w:cs="Arial"/>
          <w:i/>
          <w:color w:val="0D0D0D" w:themeColor="text1" w:themeTint="F2"/>
          <w:sz w:val="24"/>
          <w:szCs w:val="24"/>
          <w:lang w:val="es-ES_tradnl"/>
        </w:rPr>
        <w:t>pungens</w:t>
      </w:r>
      <w:proofErr w:type="spellEnd"/>
      <w:r w:rsidRPr="00A802F5">
        <w:rPr>
          <w:rFonts w:ascii="Arial" w:hAnsi="Arial" w:cs="Arial"/>
          <w:i/>
          <w:color w:val="0D0D0D" w:themeColor="text1" w:themeTint="F2"/>
          <w:sz w:val="24"/>
          <w:szCs w:val="24"/>
          <w:lang w:val="es-ES_tradnl"/>
        </w:rPr>
        <w:t>;</w:t>
      </w:r>
      <w:r w:rsidRPr="00A802F5">
        <w:rPr>
          <w:rFonts w:ascii="Arial" w:hAnsi="Arial" w:cs="Arial"/>
          <w:color w:val="0D0D0D" w:themeColor="text1" w:themeTint="F2"/>
          <w:sz w:val="24"/>
          <w:szCs w:val="24"/>
          <w:lang w:val="es-ES_tradnl"/>
        </w:rPr>
        <w:t xml:space="preserve"> </w:t>
      </w:r>
      <w:proofErr w:type="spellStart"/>
      <w:r w:rsidRPr="00A802F5">
        <w:rPr>
          <w:rFonts w:ascii="Arial" w:hAnsi="Arial" w:cs="Arial"/>
          <w:color w:val="0D0D0D" w:themeColor="text1" w:themeTint="F2"/>
          <w:sz w:val="24"/>
          <w:szCs w:val="24"/>
          <w:lang w:val="es-ES_tradnl"/>
        </w:rPr>
        <w:t>Ericaceae</w:t>
      </w:r>
      <w:proofErr w:type="spellEnd"/>
      <w:r w:rsidRPr="00A802F5">
        <w:rPr>
          <w:rFonts w:ascii="Arial" w:hAnsi="Arial" w:cs="Arial"/>
          <w:color w:val="0D0D0D" w:themeColor="text1" w:themeTint="F2"/>
          <w:sz w:val="24"/>
          <w:szCs w:val="24"/>
          <w:lang w:val="es-ES_tradnl"/>
        </w:rPr>
        <w:t xml:space="preserve">) como se observa en la Figura 1. </w:t>
      </w:r>
    </w:p>
    <w:p w14:paraId="33B219E2" w14:textId="77777777" w:rsidR="003B1500" w:rsidRPr="00A802F5" w:rsidRDefault="003B1500" w:rsidP="003B1500">
      <w:pPr>
        <w:jc w:val="center"/>
        <w:rPr>
          <w:rFonts w:ascii="Arial" w:hAnsi="Arial" w:cs="Arial"/>
          <w:color w:val="0D0D0D" w:themeColor="text1" w:themeTint="F2"/>
          <w:sz w:val="24"/>
          <w:szCs w:val="24"/>
          <w:lang w:val="es-ES_tradnl"/>
        </w:rPr>
      </w:pPr>
      <w:r w:rsidRPr="00A802F5">
        <w:rPr>
          <w:rFonts w:ascii="Arial" w:hAnsi="Arial" w:cs="Arial"/>
          <w:noProof/>
          <w:color w:val="0D0D0D" w:themeColor="text1" w:themeTint="F2"/>
          <w:sz w:val="24"/>
          <w:szCs w:val="24"/>
          <w:lang w:val="es-ES_tradnl" w:eastAsia="es-ES_tradnl"/>
        </w:rPr>
        <w:drawing>
          <wp:inline distT="0" distB="0" distL="0" distR="0" wp14:anchorId="62BC7992" wp14:editId="7390AF93">
            <wp:extent cx="4974336" cy="24202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18913"/>
                    <a:stretch/>
                  </pic:blipFill>
                  <pic:spPr bwMode="auto">
                    <a:xfrm>
                      <a:off x="0" y="0"/>
                      <a:ext cx="4977902" cy="2421949"/>
                    </a:xfrm>
                    <a:prstGeom prst="rect">
                      <a:avLst/>
                    </a:prstGeom>
                    <a:ln>
                      <a:noFill/>
                    </a:ln>
                    <a:extLst>
                      <a:ext uri="{53640926-AAD7-44D8-BBD7-CCE9431645EC}">
                        <a14:shadowObscured xmlns:a14="http://schemas.microsoft.com/office/drawing/2010/main"/>
                      </a:ext>
                    </a:extLst>
                  </pic:spPr>
                </pic:pic>
              </a:graphicData>
            </a:graphic>
          </wp:inline>
        </w:drawing>
      </w:r>
    </w:p>
    <w:p w14:paraId="5297D03D" w14:textId="77777777" w:rsidR="003B1500" w:rsidRPr="00A802F5" w:rsidRDefault="003B1500" w:rsidP="003B1500">
      <w:pPr>
        <w:jc w:val="center"/>
        <w:rPr>
          <w:rFonts w:ascii="Arial" w:hAnsi="Arial" w:cs="Arial"/>
          <w:color w:val="0D0D0D" w:themeColor="text1" w:themeTint="F2"/>
          <w:sz w:val="24"/>
          <w:szCs w:val="24"/>
          <w:lang w:val="es-ES_tradnl"/>
        </w:rPr>
      </w:pPr>
      <w:r w:rsidRPr="004421C4">
        <w:rPr>
          <w:rFonts w:ascii="Arial" w:hAnsi="Arial" w:cs="Arial"/>
          <w:b/>
          <w:color w:val="0D0D0D" w:themeColor="text1" w:themeTint="F2"/>
          <w:sz w:val="24"/>
          <w:szCs w:val="24"/>
          <w:lang w:val="es-ES_tradnl"/>
        </w:rPr>
        <w:t>Figura 1:</w:t>
      </w:r>
      <w:r w:rsidRPr="00A802F5">
        <w:rPr>
          <w:rFonts w:ascii="Arial" w:hAnsi="Arial" w:cs="Arial"/>
          <w:color w:val="0D0D0D" w:themeColor="text1" w:themeTint="F2"/>
          <w:sz w:val="24"/>
          <w:szCs w:val="24"/>
          <w:lang w:val="es-ES_tradnl"/>
        </w:rPr>
        <w:t xml:space="preserve"> identificación botánica de las especies vegetales de la MV-i</w:t>
      </w:r>
    </w:p>
    <w:p w14:paraId="251C8589" w14:textId="77777777" w:rsidR="003B1500" w:rsidRPr="00A802F5" w:rsidRDefault="003B1500" w:rsidP="003B1500">
      <w:pPr>
        <w:jc w:val="both"/>
        <w:rPr>
          <w:rFonts w:ascii="Arial" w:hAnsi="Arial" w:cs="Arial"/>
          <w:color w:val="0D0D0D" w:themeColor="text1" w:themeTint="F2"/>
          <w:sz w:val="24"/>
          <w:szCs w:val="24"/>
          <w:lang w:val="es-ES_tradnl"/>
        </w:rPr>
      </w:pPr>
    </w:p>
    <w:p w14:paraId="523B9649" w14:textId="77777777" w:rsidR="006561EA" w:rsidRDefault="006561EA" w:rsidP="006561EA">
      <w:pPr>
        <w:jc w:val="both"/>
        <w:rPr>
          <w:rFonts w:ascii="Arial" w:hAnsi="Arial" w:cs="Arial"/>
          <w:color w:val="0D0D0D" w:themeColor="text1" w:themeTint="F2"/>
          <w:sz w:val="24"/>
          <w:szCs w:val="24"/>
          <w:lang w:val="es-ES_tradnl"/>
        </w:rPr>
      </w:pPr>
      <w:r w:rsidRPr="00A802F5">
        <w:rPr>
          <w:rFonts w:ascii="Arial" w:hAnsi="Arial" w:cs="Arial"/>
          <w:color w:val="0D0D0D" w:themeColor="text1" w:themeTint="F2"/>
          <w:sz w:val="24"/>
          <w:szCs w:val="24"/>
          <w:lang w:val="es-ES_tradnl"/>
        </w:rPr>
        <w:t>Para el ensayo de identidad se realizaron diferentes CCF utilizando los extractos de las cápsulas y diferentes fases móviles hasta a obtención de la fase ideal (</w:t>
      </w:r>
      <w:proofErr w:type="spellStart"/>
      <w:r w:rsidRPr="00A802F5">
        <w:rPr>
          <w:rFonts w:ascii="Arial" w:hAnsi="Arial" w:cs="Arial"/>
          <w:color w:val="0D0D0D" w:themeColor="text1" w:themeTint="F2"/>
          <w:sz w:val="24"/>
          <w:szCs w:val="24"/>
          <w:lang w:val="es-ES_tradnl"/>
        </w:rPr>
        <w:t>Diclorometano:Acetato</w:t>
      </w:r>
      <w:proofErr w:type="spellEnd"/>
      <w:r w:rsidRPr="00A802F5">
        <w:rPr>
          <w:rFonts w:ascii="Arial" w:hAnsi="Arial" w:cs="Arial"/>
          <w:color w:val="0D0D0D" w:themeColor="text1" w:themeTint="F2"/>
          <w:sz w:val="24"/>
          <w:szCs w:val="24"/>
          <w:lang w:val="es-ES_tradnl"/>
        </w:rPr>
        <w:t xml:space="preserve"> de etilo, en una proporción 9:1); al realizar la CCF comparativa se pudo corroborar la identidad de las cápsulas al compararlas con el material de </w:t>
      </w:r>
      <w:r w:rsidRPr="00A802F5">
        <w:rPr>
          <w:rFonts w:ascii="Arial" w:hAnsi="Arial" w:cs="Arial"/>
          <w:color w:val="0D0D0D" w:themeColor="text1" w:themeTint="F2"/>
          <w:sz w:val="24"/>
          <w:szCs w:val="24"/>
          <w:lang w:val="es-ES_tradnl"/>
        </w:rPr>
        <w:lastRenderedPageBreak/>
        <w:t>referencia (MV-i), también se pudo evidenciar que las cápsulas no generan productos de degradación derivados del almacenaje a condiciones críticas (tiempo o temperatura</w:t>
      </w:r>
      <w:r w:rsidR="0095518B" w:rsidRPr="00A802F5">
        <w:rPr>
          <w:rFonts w:ascii="Arial" w:hAnsi="Arial" w:cs="Arial"/>
          <w:color w:val="0D0D0D" w:themeColor="text1" w:themeTint="F2"/>
          <w:sz w:val="24"/>
          <w:szCs w:val="24"/>
          <w:lang w:val="es-ES_tradnl"/>
        </w:rPr>
        <w:t>-</w:t>
      </w:r>
      <w:r w:rsidR="0095518B" w:rsidRPr="00A802F5">
        <w:rPr>
          <w:rFonts w:ascii="Arial" w:hAnsi="Arial" w:cs="Arial"/>
          <w:color w:val="0D0D0D" w:themeColor="text1" w:themeTint="F2"/>
          <w:sz w:val="24"/>
          <w:szCs w:val="24"/>
        </w:rPr>
        <w:t xml:space="preserve"> </w:t>
      </w:r>
      <w:r w:rsidR="0095518B" w:rsidRPr="00A802F5">
        <w:rPr>
          <w:rFonts w:ascii="Arial" w:hAnsi="Arial" w:cs="Arial"/>
          <w:color w:val="0D0D0D" w:themeColor="text1" w:themeTint="F2"/>
          <w:sz w:val="24"/>
          <w:szCs w:val="24"/>
          <w:lang w:val="es-ES_tradnl"/>
        </w:rPr>
        <w:t>NOM-073-SSA1-2015</w:t>
      </w:r>
      <w:r w:rsidRPr="00A802F5">
        <w:rPr>
          <w:rFonts w:ascii="Arial" w:hAnsi="Arial" w:cs="Arial"/>
          <w:color w:val="0D0D0D" w:themeColor="text1" w:themeTint="F2"/>
          <w:sz w:val="24"/>
          <w:szCs w:val="24"/>
          <w:lang w:val="es-ES_tradnl"/>
        </w:rPr>
        <w:t>) al obtener en la cromatoplaca manchas similares en cuanto a color y ubicación en cada una de las muestras obtenidas por frecuencia de análisis una vez que son reveladas con ácido sulfúrico al 1</w:t>
      </w:r>
      <w:r w:rsidR="005060A1" w:rsidRPr="00A802F5">
        <w:rPr>
          <w:rFonts w:ascii="Arial" w:eastAsia="Arial" w:hAnsi="Arial" w:cs="Arial"/>
          <w:color w:val="0D0D0D" w:themeColor="text1" w:themeTint="F2"/>
          <w:sz w:val="24"/>
          <w:szCs w:val="24"/>
        </w:rPr>
        <w:t>0</w:t>
      </w:r>
      <w:r w:rsidR="005060A1" w:rsidRPr="00A802F5">
        <w:rPr>
          <w:rFonts w:ascii="Arial" w:hAnsi="Arial" w:cs="Arial"/>
          <w:color w:val="0D0D0D" w:themeColor="text1" w:themeTint="F2"/>
          <w:sz w:val="24"/>
          <w:szCs w:val="24"/>
          <w:lang w:val="es-ES_tradnl"/>
        </w:rPr>
        <w:t>%</w:t>
      </w:r>
      <w:r w:rsidRPr="00A802F5">
        <w:rPr>
          <w:rFonts w:ascii="Arial" w:hAnsi="Arial" w:cs="Arial"/>
          <w:color w:val="0D0D0D" w:themeColor="text1" w:themeTint="F2"/>
          <w:sz w:val="24"/>
          <w:szCs w:val="24"/>
          <w:lang w:val="es-ES_tradnl"/>
        </w:rPr>
        <w:t xml:space="preserve"> (Figura 2).</w:t>
      </w:r>
    </w:p>
    <w:p w14:paraId="53014D3A" w14:textId="6983657D" w:rsidR="006561EA" w:rsidRPr="00A802F5" w:rsidRDefault="00B96D11" w:rsidP="000C5D9F">
      <w:pPr>
        <w:jc w:val="center"/>
        <w:rPr>
          <w:rFonts w:ascii="Arial" w:hAnsi="Arial" w:cs="Arial"/>
          <w:color w:val="0D0D0D" w:themeColor="text1" w:themeTint="F2"/>
          <w:sz w:val="24"/>
          <w:szCs w:val="24"/>
          <w:lang w:val="es-ES_tradnl"/>
        </w:rPr>
      </w:pPr>
      <w:r>
        <w:rPr>
          <w:rFonts w:ascii="Arial" w:hAnsi="Arial" w:cs="Arial"/>
          <w:noProof/>
          <w:color w:val="0D0D0D"/>
          <w:sz w:val="24"/>
          <w:szCs w:val="24"/>
          <w:lang w:val="es-ES_tradnl" w:eastAsia="es-ES_tradnl"/>
        </w:rPr>
        <w:drawing>
          <wp:inline distT="0" distB="0" distL="0" distR="0" wp14:anchorId="0E482400" wp14:editId="61F4B88E">
            <wp:extent cx="5021580" cy="23469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22337"/>
                    <a:stretch>
                      <a:fillRect/>
                    </a:stretch>
                  </pic:blipFill>
                  <pic:spPr bwMode="auto">
                    <a:xfrm>
                      <a:off x="0" y="0"/>
                      <a:ext cx="5021580" cy="2346960"/>
                    </a:xfrm>
                    <a:prstGeom prst="rect">
                      <a:avLst/>
                    </a:prstGeom>
                    <a:noFill/>
                    <a:ln>
                      <a:noFill/>
                    </a:ln>
                  </pic:spPr>
                </pic:pic>
              </a:graphicData>
            </a:graphic>
          </wp:inline>
        </w:drawing>
      </w:r>
    </w:p>
    <w:p w14:paraId="102450FE" w14:textId="5C43E030" w:rsidR="004421C4" w:rsidRPr="00A802F5" w:rsidRDefault="004421C4" w:rsidP="004421C4">
      <w:pPr>
        <w:jc w:val="center"/>
        <w:rPr>
          <w:rFonts w:ascii="Arial" w:hAnsi="Arial" w:cs="Arial"/>
          <w:color w:val="0D0D0D"/>
          <w:sz w:val="24"/>
          <w:szCs w:val="24"/>
        </w:rPr>
      </w:pPr>
      <w:bookmarkStart w:id="1" w:name="_1fob9te" w:colFirst="0" w:colLast="0"/>
      <w:bookmarkEnd w:id="1"/>
      <w:r w:rsidRPr="004421C4">
        <w:rPr>
          <w:rFonts w:ascii="Arial" w:hAnsi="Arial" w:cs="Arial"/>
          <w:b/>
          <w:color w:val="0D0D0D"/>
          <w:sz w:val="24"/>
          <w:szCs w:val="24"/>
        </w:rPr>
        <w:t>Figura 2:</w:t>
      </w:r>
      <w:r>
        <w:rPr>
          <w:rFonts w:ascii="Arial" w:hAnsi="Arial" w:cs="Arial"/>
          <w:color w:val="0D0D0D"/>
          <w:sz w:val="24"/>
          <w:szCs w:val="24"/>
        </w:rPr>
        <w:t xml:space="preserve"> Cromatoplaca,</w:t>
      </w:r>
      <w:r w:rsidRPr="00E811F2">
        <w:rPr>
          <w:rFonts w:ascii="Arial" w:hAnsi="Arial" w:cs="Arial"/>
          <w:color w:val="0D0D0D"/>
          <w:sz w:val="24"/>
          <w:szCs w:val="24"/>
        </w:rPr>
        <w:t xml:space="preserve"> a</w:t>
      </w:r>
      <w:r w:rsidRPr="00E811F2">
        <w:rPr>
          <w:rFonts w:ascii="Arial" w:hAnsi="Arial" w:cs="Arial"/>
          <w:color w:val="0D0D0D"/>
          <w:sz w:val="24"/>
          <w:szCs w:val="24"/>
          <w:lang w:val="es-ES_tradnl"/>
        </w:rPr>
        <w:t>)</w:t>
      </w:r>
      <w:r w:rsidRPr="00E811F2">
        <w:rPr>
          <w:rFonts w:ascii="Arial" w:hAnsi="Arial" w:cs="Arial"/>
          <w:color w:val="0D0D0D"/>
          <w:sz w:val="24"/>
          <w:szCs w:val="24"/>
        </w:rPr>
        <w:t xml:space="preserve"> después de ser vista en lámpara ultravioleta a 254 nm, b</w:t>
      </w:r>
      <w:r w:rsidRPr="00E811F2">
        <w:rPr>
          <w:rFonts w:ascii="Arial" w:hAnsi="Arial" w:cs="Arial"/>
          <w:color w:val="0D0D0D"/>
          <w:sz w:val="24"/>
          <w:szCs w:val="24"/>
          <w:lang w:val="es-ES_tradnl"/>
        </w:rPr>
        <w:t>)</w:t>
      </w:r>
      <w:r w:rsidRPr="00E811F2">
        <w:rPr>
          <w:rFonts w:ascii="Arial" w:hAnsi="Arial" w:cs="Arial"/>
          <w:color w:val="0D0D0D"/>
          <w:sz w:val="24"/>
          <w:szCs w:val="24"/>
        </w:rPr>
        <w:t xml:space="preserve"> lámpara ultravioleta a 365 nm c</w:t>
      </w:r>
      <w:r w:rsidRPr="00E811F2">
        <w:rPr>
          <w:rFonts w:ascii="Arial" w:hAnsi="Arial" w:cs="Arial"/>
          <w:color w:val="0D0D0D"/>
          <w:sz w:val="24"/>
          <w:szCs w:val="24"/>
          <w:lang w:val="es-ES_tradnl"/>
        </w:rPr>
        <w:t>)</w:t>
      </w:r>
      <w:r w:rsidRPr="00E811F2">
        <w:rPr>
          <w:rFonts w:ascii="Arial" w:hAnsi="Arial" w:cs="Arial"/>
          <w:color w:val="0D0D0D"/>
          <w:sz w:val="24"/>
          <w:szCs w:val="24"/>
        </w:rPr>
        <w:t xml:space="preserve"> después de ser revelada con ácido sulfúrico al 10 %</w:t>
      </w:r>
      <w:r>
        <w:rPr>
          <w:rFonts w:ascii="Arial" w:hAnsi="Arial" w:cs="Arial"/>
          <w:color w:val="0D0D0D"/>
          <w:sz w:val="24"/>
          <w:szCs w:val="24"/>
        </w:rPr>
        <w:t>.</w:t>
      </w:r>
    </w:p>
    <w:p w14:paraId="3CC72C00" w14:textId="77777777" w:rsidR="009A5FFF" w:rsidRPr="00A802F5" w:rsidRDefault="009A5FFF" w:rsidP="00825C3A">
      <w:pPr>
        <w:autoSpaceDE w:val="0"/>
        <w:autoSpaceDN w:val="0"/>
        <w:adjustRightInd w:val="0"/>
        <w:spacing w:after="0"/>
        <w:rPr>
          <w:rFonts w:ascii="Arial" w:hAnsi="Arial" w:cs="Arial"/>
          <w:color w:val="0D0D0D" w:themeColor="text1" w:themeTint="F2"/>
          <w:sz w:val="24"/>
          <w:szCs w:val="24"/>
        </w:rPr>
      </w:pPr>
    </w:p>
    <w:p w14:paraId="3FEFE2BA" w14:textId="77777777" w:rsidR="00C57ED8" w:rsidRPr="00A802F5" w:rsidRDefault="00C57ED8" w:rsidP="00825C3A">
      <w:pPr>
        <w:pStyle w:val="Prrafodelista"/>
        <w:numPr>
          <w:ilvl w:val="0"/>
          <w:numId w:val="1"/>
        </w:numPr>
        <w:autoSpaceDE w:val="0"/>
        <w:autoSpaceDN w:val="0"/>
        <w:adjustRightInd w:val="0"/>
        <w:spacing w:after="0"/>
        <w:rPr>
          <w:rFonts w:ascii="Arial" w:hAnsi="Arial" w:cs="Arial"/>
          <w:b/>
          <w:color w:val="0D0D0D" w:themeColor="text1" w:themeTint="F2"/>
          <w:sz w:val="24"/>
          <w:szCs w:val="24"/>
        </w:rPr>
      </w:pPr>
      <w:r w:rsidRPr="00A802F5">
        <w:rPr>
          <w:rFonts w:ascii="Arial" w:hAnsi="Arial" w:cs="Arial"/>
          <w:b/>
          <w:color w:val="0D0D0D" w:themeColor="text1" w:themeTint="F2"/>
          <w:sz w:val="24"/>
          <w:szCs w:val="24"/>
        </w:rPr>
        <w:t>Conclusiones</w:t>
      </w:r>
    </w:p>
    <w:p w14:paraId="70D9D488" w14:textId="77777777" w:rsidR="005060A1" w:rsidRPr="00A802F5" w:rsidRDefault="005060A1" w:rsidP="005060A1">
      <w:pPr>
        <w:autoSpaceDE w:val="0"/>
        <w:autoSpaceDN w:val="0"/>
        <w:adjustRightInd w:val="0"/>
        <w:spacing w:after="0"/>
        <w:rPr>
          <w:rFonts w:ascii="Arial" w:hAnsi="Arial" w:cs="Arial"/>
          <w:color w:val="0D0D0D" w:themeColor="text1" w:themeTint="F2"/>
          <w:sz w:val="24"/>
          <w:szCs w:val="24"/>
        </w:rPr>
      </w:pPr>
    </w:p>
    <w:p w14:paraId="6FBB52E0" w14:textId="102F816E" w:rsidR="005060A1" w:rsidRPr="00A802F5" w:rsidRDefault="005060A1" w:rsidP="005060A1">
      <w:pPr>
        <w:jc w:val="both"/>
        <w:rPr>
          <w:rFonts w:ascii="Arial" w:hAnsi="Arial" w:cs="Arial"/>
          <w:color w:val="0D0D0D" w:themeColor="text1" w:themeTint="F2"/>
          <w:sz w:val="24"/>
          <w:szCs w:val="24"/>
          <w:lang w:val="es-ES_tradnl"/>
        </w:rPr>
      </w:pPr>
      <w:r w:rsidRPr="00A802F5">
        <w:rPr>
          <w:rFonts w:ascii="Arial" w:hAnsi="Arial" w:cs="Arial"/>
          <w:color w:val="0D0D0D" w:themeColor="text1" w:themeTint="F2"/>
          <w:sz w:val="24"/>
          <w:szCs w:val="24"/>
          <w:lang w:val="es-ES_tradnl"/>
        </w:rPr>
        <w:t>Con el MGA-FH 0040 se identificaron los cuatro componentes mayoritarios del MV-i</w:t>
      </w:r>
      <w:r w:rsidR="004421C4">
        <w:rPr>
          <w:rFonts w:ascii="Arial" w:hAnsi="Arial" w:cs="Arial"/>
          <w:color w:val="0D0D0D" w:themeColor="text1" w:themeTint="F2"/>
          <w:sz w:val="24"/>
          <w:szCs w:val="24"/>
          <w:lang w:val="es-ES_tradnl"/>
        </w:rPr>
        <w:t xml:space="preserve"> a presentes en el RH</w:t>
      </w:r>
      <w:r w:rsidRPr="00A802F5">
        <w:rPr>
          <w:rFonts w:ascii="Arial" w:hAnsi="Arial" w:cs="Arial"/>
          <w:color w:val="0D0D0D" w:themeColor="text1" w:themeTint="F2"/>
          <w:sz w:val="24"/>
          <w:szCs w:val="24"/>
          <w:lang w:val="es-ES_tradnl"/>
        </w:rPr>
        <w:t>.</w:t>
      </w:r>
      <w:r w:rsidR="004421C4">
        <w:rPr>
          <w:rFonts w:ascii="Arial" w:hAnsi="Arial" w:cs="Arial"/>
          <w:color w:val="0D0D0D" w:themeColor="text1" w:themeTint="F2"/>
          <w:sz w:val="24"/>
          <w:szCs w:val="24"/>
          <w:lang w:val="es-ES_tradnl"/>
        </w:rPr>
        <w:t xml:space="preserve"> Se definió el ensayo de identidad por CCF ideal como técnica de control de calidad cromatográfica asequible para un RH que contenga las plantas </w:t>
      </w:r>
      <w:proofErr w:type="spellStart"/>
      <w:r w:rsidR="004421C4" w:rsidRPr="00A802F5">
        <w:rPr>
          <w:rFonts w:ascii="Arial" w:hAnsi="Arial" w:cs="Arial"/>
          <w:color w:val="0D0D0D" w:themeColor="text1" w:themeTint="F2"/>
          <w:sz w:val="24"/>
          <w:szCs w:val="24"/>
          <w:lang w:val="es-ES_tradnl"/>
        </w:rPr>
        <w:t>Guásima</w:t>
      </w:r>
      <w:proofErr w:type="spellEnd"/>
      <w:r w:rsidR="004421C4" w:rsidRPr="00A802F5">
        <w:rPr>
          <w:rFonts w:ascii="Arial" w:hAnsi="Arial" w:cs="Arial"/>
          <w:color w:val="0D0D0D" w:themeColor="text1" w:themeTint="F2"/>
          <w:sz w:val="24"/>
          <w:szCs w:val="24"/>
          <w:lang w:val="es-ES_tradnl"/>
        </w:rPr>
        <w:t xml:space="preserve"> (</w:t>
      </w:r>
      <w:proofErr w:type="spellStart"/>
      <w:r w:rsidR="004421C4" w:rsidRPr="00A802F5">
        <w:rPr>
          <w:rFonts w:ascii="Arial" w:hAnsi="Arial" w:cs="Arial"/>
          <w:i/>
          <w:color w:val="0D0D0D" w:themeColor="text1" w:themeTint="F2"/>
          <w:sz w:val="24"/>
          <w:szCs w:val="24"/>
          <w:lang w:val="es-ES_tradnl"/>
        </w:rPr>
        <w:t>Guazuma</w:t>
      </w:r>
      <w:proofErr w:type="spellEnd"/>
      <w:r w:rsidR="004421C4" w:rsidRPr="00A802F5">
        <w:rPr>
          <w:rFonts w:ascii="Arial" w:hAnsi="Arial" w:cs="Arial"/>
          <w:i/>
          <w:color w:val="0D0D0D" w:themeColor="text1" w:themeTint="F2"/>
          <w:sz w:val="24"/>
          <w:szCs w:val="24"/>
          <w:lang w:val="es-ES_tradnl"/>
        </w:rPr>
        <w:t xml:space="preserve"> </w:t>
      </w:r>
      <w:proofErr w:type="spellStart"/>
      <w:r w:rsidR="004421C4" w:rsidRPr="00A802F5">
        <w:rPr>
          <w:rFonts w:ascii="Arial" w:hAnsi="Arial" w:cs="Arial"/>
          <w:i/>
          <w:color w:val="0D0D0D" w:themeColor="text1" w:themeTint="F2"/>
          <w:sz w:val="24"/>
          <w:szCs w:val="24"/>
          <w:lang w:val="es-ES_tradnl"/>
        </w:rPr>
        <w:t>ulmifolia</w:t>
      </w:r>
      <w:proofErr w:type="spellEnd"/>
      <w:r w:rsidR="004421C4" w:rsidRPr="00A802F5">
        <w:rPr>
          <w:rFonts w:ascii="Arial" w:hAnsi="Arial" w:cs="Arial"/>
          <w:i/>
          <w:color w:val="0D0D0D" w:themeColor="text1" w:themeTint="F2"/>
          <w:sz w:val="24"/>
          <w:szCs w:val="24"/>
          <w:lang w:val="es-ES_tradnl"/>
        </w:rPr>
        <w:t xml:space="preserve"> Lam;</w:t>
      </w:r>
      <w:r w:rsidR="004421C4" w:rsidRPr="00A802F5">
        <w:rPr>
          <w:rFonts w:ascii="Arial" w:hAnsi="Arial" w:cs="Arial"/>
          <w:color w:val="0D0D0D" w:themeColor="text1" w:themeTint="F2"/>
          <w:sz w:val="24"/>
          <w:szCs w:val="24"/>
          <w:lang w:val="es-ES_tradnl"/>
        </w:rPr>
        <w:t xml:space="preserve"> </w:t>
      </w:r>
      <w:proofErr w:type="spellStart"/>
      <w:r w:rsidR="004421C4" w:rsidRPr="00A802F5">
        <w:rPr>
          <w:rFonts w:ascii="Arial" w:hAnsi="Arial" w:cs="Arial"/>
          <w:color w:val="0D0D0D" w:themeColor="text1" w:themeTint="F2"/>
          <w:sz w:val="24"/>
          <w:szCs w:val="24"/>
          <w:lang w:val="es-ES_tradnl"/>
        </w:rPr>
        <w:t>Sterculiaceae</w:t>
      </w:r>
      <w:proofErr w:type="spellEnd"/>
      <w:r w:rsidR="004421C4" w:rsidRPr="00A802F5">
        <w:rPr>
          <w:rFonts w:ascii="Arial" w:hAnsi="Arial" w:cs="Arial"/>
          <w:color w:val="0D0D0D" w:themeColor="text1" w:themeTint="F2"/>
          <w:sz w:val="24"/>
          <w:szCs w:val="24"/>
          <w:lang w:val="es-ES_tradnl"/>
        </w:rPr>
        <w:t>/</w:t>
      </w:r>
      <w:proofErr w:type="spellStart"/>
      <w:r w:rsidR="004421C4" w:rsidRPr="00A802F5">
        <w:rPr>
          <w:rFonts w:ascii="Arial" w:hAnsi="Arial" w:cs="Arial"/>
          <w:color w:val="0D0D0D" w:themeColor="text1" w:themeTint="F2"/>
          <w:sz w:val="24"/>
          <w:szCs w:val="24"/>
          <w:lang w:val="es-ES_tradnl"/>
        </w:rPr>
        <w:t>Malvaceae</w:t>
      </w:r>
      <w:proofErr w:type="spellEnd"/>
      <w:r w:rsidR="004421C4" w:rsidRPr="00A802F5">
        <w:rPr>
          <w:rFonts w:ascii="Arial" w:hAnsi="Arial" w:cs="Arial"/>
          <w:i/>
          <w:color w:val="0D0D0D" w:themeColor="text1" w:themeTint="F2"/>
          <w:sz w:val="24"/>
          <w:szCs w:val="24"/>
          <w:lang w:val="es-ES_tradnl"/>
        </w:rPr>
        <w:t xml:space="preserve"> </w:t>
      </w:r>
      <w:proofErr w:type="spellStart"/>
      <w:r w:rsidR="004421C4" w:rsidRPr="00A802F5">
        <w:rPr>
          <w:rFonts w:ascii="Arial" w:hAnsi="Arial" w:cs="Arial"/>
          <w:i/>
          <w:color w:val="0D0D0D" w:themeColor="text1" w:themeTint="F2"/>
          <w:sz w:val="24"/>
          <w:szCs w:val="24"/>
          <w:lang w:val="es-ES_tradnl"/>
        </w:rPr>
        <w:t>Juss</w:t>
      </w:r>
      <w:proofErr w:type="spellEnd"/>
      <w:r w:rsidR="004421C4" w:rsidRPr="00A802F5">
        <w:rPr>
          <w:rFonts w:ascii="Arial" w:hAnsi="Arial" w:cs="Arial"/>
          <w:color w:val="0D0D0D" w:themeColor="text1" w:themeTint="F2"/>
          <w:sz w:val="24"/>
          <w:szCs w:val="24"/>
          <w:lang w:val="es-ES_tradnl"/>
        </w:rPr>
        <w:t>), Cola de caballo (</w:t>
      </w:r>
      <w:proofErr w:type="spellStart"/>
      <w:r w:rsidR="004421C4" w:rsidRPr="00A802F5">
        <w:rPr>
          <w:rFonts w:ascii="Arial" w:hAnsi="Arial" w:cs="Arial"/>
          <w:i/>
          <w:color w:val="0D0D0D" w:themeColor="text1" w:themeTint="F2"/>
          <w:sz w:val="24"/>
          <w:szCs w:val="24"/>
          <w:lang w:val="es-ES_tradnl"/>
        </w:rPr>
        <w:t>Equisetum</w:t>
      </w:r>
      <w:proofErr w:type="spellEnd"/>
      <w:r w:rsidR="004421C4" w:rsidRPr="00A802F5">
        <w:rPr>
          <w:rFonts w:ascii="Arial" w:hAnsi="Arial" w:cs="Arial"/>
          <w:i/>
          <w:color w:val="0D0D0D" w:themeColor="text1" w:themeTint="F2"/>
          <w:sz w:val="24"/>
          <w:szCs w:val="24"/>
          <w:lang w:val="es-ES_tradnl"/>
        </w:rPr>
        <w:t xml:space="preserve"> </w:t>
      </w:r>
      <w:proofErr w:type="spellStart"/>
      <w:r w:rsidR="004421C4" w:rsidRPr="00A802F5">
        <w:rPr>
          <w:rFonts w:ascii="Arial" w:hAnsi="Arial" w:cs="Arial"/>
          <w:i/>
          <w:color w:val="0D0D0D" w:themeColor="text1" w:themeTint="F2"/>
          <w:sz w:val="24"/>
          <w:szCs w:val="24"/>
          <w:lang w:val="es-ES_tradnl"/>
        </w:rPr>
        <w:t>hyemale</w:t>
      </w:r>
      <w:proofErr w:type="spellEnd"/>
      <w:r w:rsidR="004421C4" w:rsidRPr="00A802F5">
        <w:rPr>
          <w:rFonts w:ascii="Arial" w:hAnsi="Arial" w:cs="Arial"/>
          <w:i/>
          <w:color w:val="0D0D0D" w:themeColor="text1" w:themeTint="F2"/>
          <w:sz w:val="24"/>
          <w:szCs w:val="24"/>
          <w:lang w:val="es-ES_tradnl"/>
        </w:rPr>
        <w:t xml:space="preserve"> L;</w:t>
      </w:r>
      <w:r w:rsidR="004421C4" w:rsidRPr="00A802F5">
        <w:rPr>
          <w:rFonts w:ascii="Arial" w:hAnsi="Arial" w:cs="Arial"/>
          <w:color w:val="0D0D0D" w:themeColor="text1" w:themeTint="F2"/>
          <w:sz w:val="24"/>
          <w:szCs w:val="24"/>
          <w:lang w:val="es-ES_tradnl"/>
        </w:rPr>
        <w:t xml:space="preserve"> </w:t>
      </w:r>
      <w:proofErr w:type="spellStart"/>
      <w:r w:rsidR="004421C4" w:rsidRPr="00A802F5">
        <w:rPr>
          <w:rFonts w:ascii="Arial" w:hAnsi="Arial" w:cs="Arial"/>
          <w:color w:val="0D0D0D" w:themeColor="text1" w:themeTint="F2"/>
          <w:sz w:val="24"/>
          <w:szCs w:val="24"/>
          <w:lang w:val="es-ES_tradnl"/>
        </w:rPr>
        <w:t>Equisetaceae</w:t>
      </w:r>
      <w:proofErr w:type="spellEnd"/>
      <w:r w:rsidR="004421C4" w:rsidRPr="00A802F5">
        <w:rPr>
          <w:rFonts w:ascii="Arial" w:hAnsi="Arial" w:cs="Arial"/>
          <w:color w:val="0D0D0D" w:themeColor="text1" w:themeTint="F2"/>
          <w:sz w:val="24"/>
          <w:szCs w:val="24"/>
          <w:lang w:val="es-ES_tradnl"/>
        </w:rPr>
        <w:t>), Tres costillas (</w:t>
      </w:r>
      <w:proofErr w:type="spellStart"/>
      <w:r w:rsidR="004421C4" w:rsidRPr="00A802F5">
        <w:rPr>
          <w:rFonts w:ascii="Arial" w:hAnsi="Arial" w:cs="Arial"/>
          <w:i/>
          <w:color w:val="0D0D0D" w:themeColor="text1" w:themeTint="F2"/>
          <w:sz w:val="24"/>
          <w:szCs w:val="24"/>
          <w:lang w:val="es-ES_tradnl"/>
        </w:rPr>
        <w:t>Serjania</w:t>
      </w:r>
      <w:proofErr w:type="spellEnd"/>
      <w:r w:rsidR="004421C4" w:rsidRPr="00A802F5">
        <w:rPr>
          <w:rFonts w:ascii="Arial" w:hAnsi="Arial" w:cs="Arial"/>
          <w:i/>
          <w:color w:val="0D0D0D" w:themeColor="text1" w:themeTint="F2"/>
          <w:sz w:val="24"/>
          <w:szCs w:val="24"/>
          <w:lang w:val="es-ES_tradnl"/>
        </w:rPr>
        <w:t xml:space="preserve"> </w:t>
      </w:r>
      <w:proofErr w:type="spellStart"/>
      <w:r w:rsidR="004421C4" w:rsidRPr="00A802F5">
        <w:rPr>
          <w:rFonts w:ascii="Arial" w:hAnsi="Arial" w:cs="Arial"/>
          <w:i/>
          <w:color w:val="0D0D0D" w:themeColor="text1" w:themeTint="F2"/>
          <w:sz w:val="24"/>
          <w:szCs w:val="24"/>
          <w:lang w:val="es-ES_tradnl"/>
        </w:rPr>
        <w:t>triquetra</w:t>
      </w:r>
      <w:proofErr w:type="spellEnd"/>
      <w:r w:rsidR="004421C4" w:rsidRPr="00A802F5">
        <w:rPr>
          <w:rFonts w:ascii="Arial" w:hAnsi="Arial" w:cs="Arial"/>
          <w:i/>
          <w:color w:val="0D0D0D" w:themeColor="text1" w:themeTint="F2"/>
          <w:sz w:val="24"/>
          <w:szCs w:val="24"/>
          <w:lang w:val="es-ES_tradnl"/>
        </w:rPr>
        <w:t>;</w:t>
      </w:r>
      <w:r w:rsidR="004421C4" w:rsidRPr="00A802F5">
        <w:rPr>
          <w:rFonts w:ascii="Arial" w:hAnsi="Arial" w:cs="Arial"/>
          <w:color w:val="0D0D0D" w:themeColor="text1" w:themeTint="F2"/>
          <w:sz w:val="24"/>
          <w:szCs w:val="24"/>
          <w:lang w:val="es-ES_tradnl"/>
        </w:rPr>
        <w:t xml:space="preserve"> </w:t>
      </w:r>
      <w:proofErr w:type="spellStart"/>
      <w:r w:rsidR="004421C4" w:rsidRPr="00A802F5">
        <w:rPr>
          <w:rFonts w:ascii="Arial" w:hAnsi="Arial" w:cs="Arial"/>
          <w:color w:val="0D0D0D" w:themeColor="text1" w:themeTint="F2"/>
          <w:sz w:val="24"/>
          <w:szCs w:val="24"/>
          <w:lang w:val="es-ES_tradnl"/>
        </w:rPr>
        <w:t>Sapindaceae</w:t>
      </w:r>
      <w:proofErr w:type="spellEnd"/>
      <w:r w:rsidR="004421C4" w:rsidRPr="00A802F5">
        <w:rPr>
          <w:rFonts w:ascii="Arial" w:hAnsi="Arial" w:cs="Arial"/>
          <w:color w:val="0D0D0D" w:themeColor="text1" w:themeTint="F2"/>
          <w:sz w:val="24"/>
          <w:szCs w:val="24"/>
          <w:lang w:val="es-ES_tradnl"/>
        </w:rPr>
        <w:t>) y Pingüica (</w:t>
      </w:r>
      <w:proofErr w:type="spellStart"/>
      <w:r w:rsidR="004421C4" w:rsidRPr="00A802F5">
        <w:rPr>
          <w:rFonts w:ascii="Arial" w:hAnsi="Arial" w:cs="Arial"/>
          <w:i/>
          <w:color w:val="0D0D0D" w:themeColor="text1" w:themeTint="F2"/>
          <w:sz w:val="24"/>
          <w:szCs w:val="24"/>
          <w:lang w:val="es-ES_tradnl"/>
        </w:rPr>
        <w:t>Arctostaphylos</w:t>
      </w:r>
      <w:proofErr w:type="spellEnd"/>
      <w:r w:rsidR="004421C4" w:rsidRPr="00A802F5">
        <w:rPr>
          <w:rFonts w:ascii="Arial" w:hAnsi="Arial" w:cs="Arial"/>
          <w:i/>
          <w:color w:val="0D0D0D" w:themeColor="text1" w:themeTint="F2"/>
          <w:sz w:val="24"/>
          <w:szCs w:val="24"/>
          <w:lang w:val="es-ES_tradnl"/>
        </w:rPr>
        <w:t xml:space="preserve"> </w:t>
      </w:r>
      <w:proofErr w:type="spellStart"/>
      <w:r w:rsidR="004421C4" w:rsidRPr="00A802F5">
        <w:rPr>
          <w:rFonts w:ascii="Arial" w:hAnsi="Arial" w:cs="Arial"/>
          <w:i/>
          <w:color w:val="0D0D0D" w:themeColor="text1" w:themeTint="F2"/>
          <w:sz w:val="24"/>
          <w:szCs w:val="24"/>
          <w:lang w:val="es-ES_tradnl"/>
        </w:rPr>
        <w:t>pungens</w:t>
      </w:r>
      <w:proofErr w:type="spellEnd"/>
      <w:r w:rsidR="004421C4" w:rsidRPr="00A802F5">
        <w:rPr>
          <w:rFonts w:ascii="Arial" w:hAnsi="Arial" w:cs="Arial"/>
          <w:i/>
          <w:color w:val="0D0D0D" w:themeColor="text1" w:themeTint="F2"/>
          <w:sz w:val="24"/>
          <w:szCs w:val="24"/>
          <w:lang w:val="es-ES_tradnl"/>
        </w:rPr>
        <w:t>;</w:t>
      </w:r>
      <w:r w:rsidR="004421C4" w:rsidRPr="00A802F5">
        <w:rPr>
          <w:rFonts w:ascii="Arial" w:hAnsi="Arial" w:cs="Arial"/>
          <w:color w:val="0D0D0D" w:themeColor="text1" w:themeTint="F2"/>
          <w:sz w:val="24"/>
          <w:szCs w:val="24"/>
          <w:lang w:val="es-ES_tradnl"/>
        </w:rPr>
        <w:t xml:space="preserve"> </w:t>
      </w:r>
      <w:proofErr w:type="spellStart"/>
      <w:r w:rsidR="004421C4" w:rsidRPr="00A802F5">
        <w:rPr>
          <w:rFonts w:ascii="Arial" w:hAnsi="Arial" w:cs="Arial"/>
          <w:color w:val="0D0D0D" w:themeColor="text1" w:themeTint="F2"/>
          <w:sz w:val="24"/>
          <w:szCs w:val="24"/>
          <w:lang w:val="es-ES_tradnl"/>
        </w:rPr>
        <w:t>Ericaceae</w:t>
      </w:r>
      <w:proofErr w:type="spellEnd"/>
      <w:r w:rsidR="004421C4" w:rsidRPr="00A802F5">
        <w:rPr>
          <w:rFonts w:ascii="Arial" w:hAnsi="Arial" w:cs="Arial"/>
          <w:color w:val="0D0D0D" w:themeColor="text1" w:themeTint="F2"/>
          <w:sz w:val="24"/>
          <w:szCs w:val="24"/>
          <w:lang w:val="es-ES_tradnl"/>
        </w:rPr>
        <w:t>)</w:t>
      </w:r>
      <w:r w:rsidR="004421C4">
        <w:rPr>
          <w:rFonts w:ascii="Arial" w:hAnsi="Arial" w:cs="Arial"/>
          <w:color w:val="0D0D0D" w:themeColor="text1" w:themeTint="F2"/>
          <w:sz w:val="24"/>
          <w:szCs w:val="24"/>
          <w:lang w:val="es-ES_tradnl"/>
        </w:rPr>
        <w:t xml:space="preserve">. Aportando así un método de monitoreo de calidad de componentes mayoritarios que sirve como estrategia de control para evaluar la estabilidad del producto a largo plazo. </w:t>
      </w:r>
    </w:p>
    <w:p w14:paraId="006743C1" w14:textId="2A65D8B9" w:rsidR="005060A1" w:rsidRPr="00A802F5" w:rsidRDefault="004421C4" w:rsidP="005060A1">
      <w:pPr>
        <w:jc w:val="both"/>
        <w:rPr>
          <w:rFonts w:ascii="Arial" w:hAnsi="Arial" w:cs="Arial"/>
          <w:color w:val="0D0D0D" w:themeColor="text1" w:themeTint="F2"/>
          <w:sz w:val="24"/>
          <w:szCs w:val="24"/>
          <w:lang w:val="es-ES_tradnl"/>
        </w:rPr>
      </w:pPr>
      <w:r>
        <w:rPr>
          <w:rFonts w:ascii="Arial" w:hAnsi="Arial" w:cs="Arial"/>
          <w:color w:val="0D0D0D" w:themeColor="text1" w:themeTint="F2"/>
          <w:sz w:val="24"/>
          <w:szCs w:val="24"/>
          <w:lang w:val="es-ES_tradnl"/>
        </w:rPr>
        <w:t>Con los resultados obtenidos podemos concluir que e</w:t>
      </w:r>
      <w:r w:rsidR="005060A1" w:rsidRPr="00A802F5">
        <w:rPr>
          <w:rFonts w:ascii="Arial" w:hAnsi="Arial" w:cs="Arial"/>
          <w:color w:val="0D0D0D" w:themeColor="text1" w:themeTint="F2"/>
          <w:sz w:val="24"/>
          <w:szCs w:val="24"/>
          <w:lang w:val="es-ES_tradnl"/>
        </w:rPr>
        <w:t>l RH cumple con los parámetros establecidos en los numerales 8 y 10 de la NOM-073-SSA1-2015 a excepción del contenido en la etiqueta.</w:t>
      </w:r>
    </w:p>
    <w:p w14:paraId="149EF7A4" w14:textId="77777777" w:rsidR="005060A1" w:rsidRDefault="005060A1" w:rsidP="005060A1">
      <w:pPr>
        <w:autoSpaceDE w:val="0"/>
        <w:autoSpaceDN w:val="0"/>
        <w:adjustRightInd w:val="0"/>
        <w:spacing w:after="0"/>
        <w:rPr>
          <w:rFonts w:ascii="Arial" w:hAnsi="Arial" w:cs="Arial"/>
          <w:color w:val="0D0D0D" w:themeColor="text1" w:themeTint="F2"/>
          <w:sz w:val="24"/>
          <w:szCs w:val="24"/>
          <w:lang w:val="es-ES_tradnl"/>
        </w:rPr>
      </w:pPr>
    </w:p>
    <w:p w14:paraId="2B250FC8" w14:textId="77777777" w:rsidR="00E84083" w:rsidRDefault="00E84083" w:rsidP="005060A1">
      <w:pPr>
        <w:autoSpaceDE w:val="0"/>
        <w:autoSpaceDN w:val="0"/>
        <w:adjustRightInd w:val="0"/>
        <w:spacing w:after="0"/>
        <w:rPr>
          <w:rFonts w:ascii="Arial" w:hAnsi="Arial" w:cs="Arial"/>
          <w:color w:val="0D0D0D" w:themeColor="text1" w:themeTint="F2"/>
          <w:sz w:val="24"/>
          <w:szCs w:val="24"/>
          <w:lang w:val="es-ES_tradnl"/>
        </w:rPr>
      </w:pPr>
    </w:p>
    <w:p w14:paraId="318F0EB8" w14:textId="77777777" w:rsidR="00A802F5" w:rsidRPr="00A802F5" w:rsidRDefault="00A802F5" w:rsidP="005060A1">
      <w:pPr>
        <w:autoSpaceDE w:val="0"/>
        <w:autoSpaceDN w:val="0"/>
        <w:adjustRightInd w:val="0"/>
        <w:spacing w:after="0"/>
        <w:rPr>
          <w:rFonts w:ascii="Arial" w:hAnsi="Arial" w:cs="Arial"/>
          <w:color w:val="0D0D0D" w:themeColor="text1" w:themeTint="F2"/>
          <w:sz w:val="24"/>
          <w:szCs w:val="24"/>
          <w:lang w:val="es-ES_tradnl"/>
        </w:rPr>
      </w:pPr>
    </w:p>
    <w:p w14:paraId="58347D45" w14:textId="77777777" w:rsidR="00C57ED8" w:rsidRPr="00A802F5" w:rsidRDefault="0095518B" w:rsidP="00825C3A">
      <w:pPr>
        <w:pStyle w:val="Prrafodelista"/>
        <w:numPr>
          <w:ilvl w:val="0"/>
          <w:numId w:val="1"/>
        </w:numPr>
        <w:autoSpaceDE w:val="0"/>
        <w:autoSpaceDN w:val="0"/>
        <w:adjustRightInd w:val="0"/>
        <w:spacing w:after="0"/>
        <w:rPr>
          <w:rFonts w:ascii="Arial" w:hAnsi="Arial" w:cs="Arial"/>
          <w:b/>
          <w:color w:val="0D0D0D" w:themeColor="text1" w:themeTint="F2"/>
          <w:sz w:val="24"/>
          <w:szCs w:val="24"/>
        </w:rPr>
      </w:pPr>
      <w:r w:rsidRPr="00A802F5">
        <w:rPr>
          <w:rFonts w:ascii="Arial" w:hAnsi="Arial" w:cs="Arial"/>
          <w:b/>
          <w:color w:val="0D0D0D" w:themeColor="text1" w:themeTint="F2"/>
          <w:sz w:val="24"/>
          <w:szCs w:val="24"/>
        </w:rPr>
        <w:t>Bibliografía</w:t>
      </w:r>
      <w:r w:rsidR="00C57ED8" w:rsidRPr="00A802F5">
        <w:rPr>
          <w:rFonts w:ascii="Arial" w:hAnsi="Arial" w:cs="Arial"/>
          <w:b/>
          <w:color w:val="0D0D0D" w:themeColor="text1" w:themeTint="F2"/>
          <w:sz w:val="24"/>
          <w:szCs w:val="24"/>
        </w:rPr>
        <w:t>.</w:t>
      </w:r>
    </w:p>
    <w:p w14:paraId="70B6969B" w14:textId="77777777" w:rsidR="0073572E" w:rsidRPr="00A802F5" w:rsidRDefault="0073572E" w:rsidP="00825C3A">
      <w:pPr>
        <w:autoSpaceDE w:val="0"/>
        <w:autoSpaceDN w:val="0"/>
        <w:adjustRightInd w:val="0"/>
        <w:spacing w:after="0"/>
        <w:rPr>
          <w:rFonts w:ascii="Arial" w:hAnsi="Arial" w:cs="Arial"/>
          <w:color w:val="0D0D0D" w:themeColor="text1" w:themeTint="F2"/>
          <w:sz w:val="24"/>
          <w:szCs w:val="24"/>
        </w:rPr>
      </w:pPr>
    </w:p>
    <w:p w14:paraId="27BCB0A5" w14:textId="77777777" w:rsidR="005060A1" w:rsidRPr="00A802F5" w:rsidRDefault="005060A1" w:rsidP="00A802F5">
      <w:pPr>
        <w:pStyle w:val="Prrafodelista"/>
        <w:numPr>
          <w:ilvl w:val="0"/>
          <w:numId w:val="10"/>
        </w:numPr>
        <w:jc w:val="both"/>
        <w:rPr>
          <w:rFonts w:ascii="Arial" w:hAnsi="Arial" w:cs="Arial"/>
          <w:color w:val="0D0D0D" w:themeColor="text1" w:themeTint="F2"/>
          <w:sz w:val="24"/>
          <w:szCs w:val="24"/>
        </w:rPr>
      </w:pPr>
      <w:r w:rsidRPr="00A802F5">
        <w:rPr>
          <w:rFonts w:ascii="Arial" w:eastAsia="Arial" w:hAnsi="Arial" w:cs="Arial"/>
          <w:color w:val="0D0D0D" w:themeColor="text1" w:themeTint="F2"/>
          <w:sz w:val="24"/>
          <w:szCs w:val="24"/>
          <w:lang w:val="en-US"/>
        </w:rPr>
        <w:lastRenderedPageBreak/>
        <w:t>Bauer, R, Tittel, G. (1996). Quality assessment of herbal preparations as a precondition of pharmacological and clinical studies</w:t>
      </w:r>
      <w:r w:rsidRPr="00A802F5">
        <w:rPr>
          <w:rFonts w:ascii="Arial" w:eastAsia="Arial" w:hAnsi="Arial" w:cs="Arial"/>
          <w:i/>
          <w:color w:val="0D0D0D" w:themeColor="text1" w:themeTint="F2"/>
          <w:sz w:val="24"/>
          <w:szCs w:val="24"/>
          <w:lang w:val="en-US"/>
        </w:rPr>
        <w:t>.</w:t>
      </w:r>
      <w:r w:rsidRPr="00A802F5">
        <w:rPr>
          <w:rFonts w:ascii="Arial" w:eastAsia="Arial" w:hAnsi="Arial" w:cs="Arial"/>
          <w:color w:val="0D0D0D" w:themeColor="text1" w:themeTint="F2"/>
          <w:sz w:val="24"/>
          <w:szCs w:val="24"/>
          <w:lang w:val="en-US"/>
        </w:rPr>
        <w:t xml:space="preserve"> </w:t>
      </w:r>
      <w:r w:rsidRPr="00A802F5">
        <w:rPr>
          <w:rFonts w:ascii="Arial" w:eastAsia="Arial" w:hAnsi="Arial" w:cs="Arial"/>
          <w:i/>
          <w:color w:val="0D0D0D" w:themeColor="text1" w:themeTint="F2"/>
          <w:sz w:val="24"/>
          <w:szCs w:val="24"/>
        </w:rPr>
        <w:t>Phytomedicine</w:t>
      </w:r>
      <w:r w:rsidRPr="00A802F5">
        <w:rPr>
          <w:rFonts w:ascii="Arial" w:eastAsia="Arial" w:hAnsi="Arial" w:cs="Arial"/>
          <w:color w:val="0D0D0D" w:themeColor="text1" w:themeTint="F2"/>
          <w:sz w:val="24"/>
          <w:szCs w:val="24"/>
        </w:rPr>
        <w:t xml:space="preserve"> Vol. 2 (3), pp. 193-198.</w:t>
      </w:r>
    </w:p>
    <w:p w14:paraId="0CD178FF" w14:textId="77777777" w:rsidR="0095518B" w:rsidRPr="005F638A" w:rsidRDefault="0095518B" w:rsidP="00A802F5">
      <w:pPr>
        <w:pStyle w:val="Prrafodelista"/>
        <w:numPr>
          <w:ilvl w:val="0"/>
          <w:numId w:val="10"/>
        </w:numPr>
        <w:jc w:val="both"/>
        <w:rPr>
          <w:rFonts w:ascii="Arial" w:hAnsi="Arial" w:cs="Arial"/>
          <w:color w:val="0D0D0D" w:themeColor="text1" w:themeTint="F2"/>
          <w:sz w:val="24"/>
          <w:szCs w:val="24"/>
          <w:lang w:val="en-US"/>
        </w:rPr>
      </w:pPr>
      <w:r w:rsidRPr="00A802F5">
        <w:rPr>
          <w:rFonts w:ascii="Arial" w:hAnsi="Arial" w:cs="Arial"/>
          <w:bCs/>
          <w:color w:val="0D0D0D" w:themeColor="text1" w:themeTint="F2"/>
          <w:sz w:val="24"/>
          <w:szCs w:val="24"/>
        </w:rPr>
        <w:t>Clínica Renalis-Médicos Especialistas en Salud Renal</w:t>
      </w:r>
      <w:r w:rsidR="005060A1" w:rsidRPr="00A802F5">
        <w:rPr>
          <w:rFonts w:ascii="Arial" w:hAnsi="Arial" w:cs="Arial"/>
          <w:bCs/>
          <w:color w:val="0D0D0D" w:themeColor="text1" w:themeTint="F2"/>
          <w:sz w:val="24"/>
          <w:szCs w:val="24"/>
        </w:rPr>
        <w:t xml:space="preserve">, </w:t>
      </w:r>
      <w:r w:rsidR="005060A1" w:rsidRPr="00A802F5">
        <w:rPr>
          <w:rFonts w:ascii="Arial" w:hAnsi="Arial" w:cs="Arial"/>
          <w:color w:val="0D0D0D" w:themeColor="text1" w:themeTint="F2"/>
          <w:sz w:val="24"/>
          <w:szCs w:val="24"/>
        </w:rPr>
        <w:t xml:space="preserve">2016. </w:t>
      </w:r>
      <w:r w:rsidR="005060A1" w:rsidRPr="005F638A">
        <w:rPr>
          <w:rFonts w:ascii="Arial" w:hAnsi="Arial" w:cs="Arial"/>
          <w:color w:val="0D0D0D" w:themeColor="text1" w:themeTint="F2"/>
          <w:sz w:val="24"/>
          <w:szCs w:val="24"/>
          <w:lang w:val="en-US"/>
        </w:rPr>
        <w:t xml:space="preserve">[online]: </w:t>
      </w:r>
      <w:hyperlink r:id="rId9" w:history="1">
        <w:r w:rsidR="005060A1" w:rsidRPr="005F638A">
          <w:rPr>
            <w:rStyle w:val="Hipervnculo"/>
            <w:rFonts w:ascii="Arial" w:hAnsi="Arial" w:cs="Arial"/>
            <w:color w:val="0D0D0D" w:themeColor="text1" w:themeTint="F2"/>
            <w:sz w:val="24"/>
            <w:szCs w:val="24"/>
            <w:lang w:val="en-US"/>
          </w:rPr>
          <w:t>http://www.renalis.com.mx/la-insuficiencia-renal-en-mexico/</w:t>
        </w:r>
      </w:hyperlink>
      <w:r w:rsidR="005060A1" w:rsidRPr="005F638A">
        <w:rPr>
          <w:rFonts w:ascii="Arial" w:hAnsi="Arial" w:cs="Arial"/>
          <w:color w:val="0D0D0D" w:themeColor="text1" w:themeTint="F2"/>
          <w:sz w:val="24"/>
          <w:szCs w:val="24"/>
          <w:lang w:val="en-US"/>
        </w:rPr>
        <w:t xml:space="preserve">  </w:t>
      </w:r>
    </w:p>
    <w:p w14:paraId="5B1B73F3" w14:textId="77777777" w:rsidR="005060A1" w:rsidRPr="00A802F5" w:rsidRDefault="005060A1" w:rsidP="00A802F5">
      <w:pPr>
        <w:pStyle w:val="Prrafodelista"/>
        <w:numPr>
          <w:ilvl w:val="0"/>
          <w:numId w:val="10"/>
        </w:numPr>
        <w:jc w:val="both"/>
        <w:rPr>
          <w:rFonts w:ascii="Arial" w:hAnsi="Arial" w:cs="Arial"/>
          <w:color w:val="0D0D0D" w:themeColor="text1" w:themeTint="F2"/>
          <w:sz w:val="24"/>
          <w:szCs w:val="24"/>
        </w:rPr>
      </w:pPr>
      <w:r w:rsidRPr="00A802F5">
        <w:rPr>
          <w:rFonts w:ascii="Arial" w:eastAsia="Arial" w:hAnsi="Arial" w:cs="Arial"/>
          <w:iCs/>
          <w:color w:val="0D0D0D" w:themeColor="text1" w:themeTint="F2"/>
          <w:sz w:val="24"/>
          <w:szCs w:val="24"/>
        </w:rPr>
        <w:t>Comité de Expertos de la OMS</w:t>
      </w:r>
      <w:r w:rsidRPr="00A802F5">
        <w:rPr>
          <w:rFonts w:ascii="Arial" w:eastAsia="Arial" w:hAnsi="Arial" w:cs="Arial"/>
          <w:color w:val="0D0D0D" w:themeColor="text1" w:themeTint="F2"/>
          <w:sz w:val="24"/>
          <w:szCs w:val="24"/>
        </w:rPr>
        <w:t xml:space="preserve">, 1996.  </w:t>
      </w:r>
      <w:r w:rsidRPr="00A802F5">
        <w:rPr>
          <w:rFonts w:ascii="Arial" w:eastAsia="Arial" w:hAnsi="Arial" w:cs="Arial"/>
          <w:iCs/>
          <w:color w:val="0D0D0D" w:themeColor="text1" w:themeTint="F2"/>
          <w:sz w:val="24"/>
          <w:szCs w:val="24"/>
        </w:rPr>
        <w:t>Comité de Expertos de la OMS en Especificaciones para las Preparaciones Farmacéuticas. 34° informe</w:t>
      </w:r>
      <w:r w:rsidRPr="00A802F5">
        <w:rPr>
          <w:rFonts w:ascii="Arial" w:eastAsia="Arial" w:hAnsi="Arial" w:cs="Arial"/>
          <w:i/>
          <w:iCs/>
          <w:color w:val="0D0D0D" w:themeColor="text1" w:themeTint="F2"/>
          <w:sz w:val="24"/>
          <w:szCs w:val="24"/>
        </w:rPr>
        <w:t>.</w:t>
      </w:r>
      <w:r w:rsidRPr="00A802F5">
        <w:rPr>
          <w:rFonts w:ascii="Arial" w:eastAsia="Arial" w:hAnsi="Arial" w:cs="Arial"/>
          <w:color w:val="0D0D0D" w:themeColor="text1" w:themeTint="F2"/>
          <w:sz w:val="24"/>
          <w:szCs w:val="24"/>
        </w:rPr>
        <w:t> Ginebra, Organización Mundial de la Salud, 1996 (OMS, Serie de Informes Técnicos, N° 863).</w:t>
      </w:r>
    </w:p>
    <w:p w14:paraId="473C1CA6" w14:textId="77777777" w:rsidR="005060A1" w:rsidRPr="00A802F5" w:rsidRDefault="005060A1" w:rsidP="00A802F5">
      <w:pPr>
        <w:pStyle w:val="Prrafodelista"/>
        <w:numPr>
          <w:ilvl w:val="0"/>
          <w:numId w:val="10"/>
        </w:numPr>
        <w:jc w:val="both"/>
        <w:rPr>
          <w:rFonts w:ascii="Arial" w:hAnsi="Arial" w:cs="Arial"/>
          <w:color w:val="0D0D0D" w:themeColor="text1" w:themeTint="F2"/>
          <w:sz w:val="24"/>
          <w:szCs w:val="24"/>
        </w:rPr>
      </w:pPr>
      <w:r w:rsidRPr="00A802F5">
        <w:rPr>
          <w:rFonts w:ascii="Arial" w:eastAsia="Arial" w:hAnsi="Arial" w:cs="Arial"/>
          <w:color w:val="0D0D0D" w:themeColor="text1" w:themeTint="F2"/>
          <w:sz w:val="24"/>
          <w:szCs w:val="24"/>
          <w:lang w:val="en-US"/>
        </w:rPr>
        <w:t xml:space="preserve">Duke J. (1991). Handbook of medicinal Herbs. </w:t>
      </w:r>
      <w:r w:rsidRPr="00A802F5">
        <w:rPr>
          <w:rFonts w:ascii="Arial" w:eastAsia="Arial" w:hAnsi="Arial" w:cs="Arial"/>
          <w:color w:val="0D0D0D" w:themeColor="text1" w:themeTint="F2"/>
          <w:sz w:val="24"/>
          <w:szCs w:val="24"/>
        </w:rPr>
        <w:t>8ª ed. Boca ratón, Florida: CRC Press.</w:t>
      </w:r>
      <w:r w:rsidR="00F44140">
        <w:fldChar w:fldCharType="begin"/>
      </w:r>
      <w:r w:rsidR="00F44140">
        <w:instrText xml:space="preserve"> HYPERLINK "http://www.who.int/medicines/areas/tradi</w:instrText>
      </w:r>
      <w:r w:rsidR="00F44140">
        <w:instrText xml:space="preserve">tional/definitions/en/index.html" \h </w:instrText>
      </w:r>
      <w:r w:rsidR="00F44140">
        <w:fldChar w:fldCharType="separate"/>
      </w:r>
      <w:r w:rsidR="00F44140">
        <w:fldChar w:fldCharType="end"/>
      </w:r>
    </w:p>
    <w:p w14:paraId="6823F14E" w14:textId="77777777" w:rsidR="005060A1" w:rsidRPr="00A802F5" w:rsidRDefault="005060A1" w:rsidP="00A802F5">
      <w:pPr>
        <w:pStyle w:val="Prrafodelista"/>
        <w:numPr>
          <w:ilvl w:val="0"/>
          <w:numId w:val="10"/>
        </w:numPr>
        <w:jc w:val="both"/>
        <w:rPr>
          <w:rFonts w:ascii="Arial" w:hAnsi="Arial" w:cs="Arial"/>
          <w:color w:val="0D0D0D" w:themeColor="text1" w:themeTint="F2"/>
          <w:sz w:val="24"/>
          <w:szCs w:val="24"/>
        </w:rPr>
      </w:pPr>
      <w:r w:rsidRPr="00A802F5">
        <w:rPr>
          <w:rFonts w:ascii="Arial" w:hAnsi="Arial" w:cs="Arial"/>
          <w:color w:val="0D0D0D" w:themeColor="text1" w:themeTint="F2"/>
          <w:sz w:val="24"/>
          <w:szCs w:val="24"/>
        </w:rPr>
        <w:t>Estrategia de la OMS sobre medicina tradicional 2014-2023 (2013). [online]: http://apps.who.int/medicinedocs/documents/s21201es/s21201es.pdf</w:t>
      </w:r>
    </w:p>
    <w:p w14:paraId="45ED37D8" w14:textId="77777777" w:rsidR="005060A1" w:rsidRPr="00A802F5" w:rsidRDefault="005060A1" w:rsidP="00A802F5">
      <w:pPr>
        <w:pStyle w:val="Prrafodelista"/>
        <w:numPr>
          <w:ilvl w:val="0"/>
          <w:numId w:val="10"/>
        </w:numPr>
        <w:spacing w:before="240"/>
        <w:jc w:val="both"/>
        <w:rPr>
          <w:rFonts w:ascii="Arial" w:hAnsi="Arial" w:cs="Arial"/>
          <w:color w:val="0D0D0D" w:themeColor="text1" w:themeTint="F2"/>
          <w:sz w:val="24"/>
          <w:szCs w:val="24"/>
          <w:lang w:val="en-US"/>
        </w:rPr>
      </w:pPr>
      <w:r w:rsidRPr="00A802F5">
        <w:rPr>
          <w:rFonts w:ascii="Arial" w:hAnsi="Arial" w:cs="Arial"/>
          <w:bCs/>
          <w:color w:val="0D0D0D" w:themeColor="text1" w:themeTint="F2"/>
          <w:sz w:val="24"/>
          <w:szCs w:val="24"/>
        </w:rPr>
        <w:t>Fundación Mexicana del Riñón</w:t>
      </w:r>
      <w:r w:rsidRPr="00A802F5">
        <w:rPr>
          <w:rFonts w:ascii="Arial" w:hAnsi="Arial" w:cs="Arial"/>
          <w:color w:val="0D0D0D" w:themeColor="text1" w:themeTint="F2"/>
          <w:sz w:val="24"/>
          <w:szCs w:val="24"/>
        </w:rPr>
        <w:t xml:space="preserve">  A. C., 2012. </w:t>
      </w:r>
      <w:r w:rsidRPr="00A802F5">
        <w:rPr>
          <w:rFonts w:ascii="Arial" w:hAnsi="Arial" w:cs="Arial"/>
          <w:color w:val="0D0D0D" w:themeColor="text1" w:themeTint="F2"/>
          <w:sz w:val="24"/>
          <w:szCs w:val="24"/>
          <w:lang w:val="en-US"/>
        </w:rPr>
        <w:t>[online]: http://www.fundrenal.org.mx/erc.html</w:t>
      </w:r>
    </w:p>
    <w:p w14:paraId="388432A2" w14:textId="77777777" w:rsidR="005060A1" w:rsidRPr="005F638A" w:rsidRDefault="005060A1" w:rsidP="00A802F5">
      <w:pPr>
        <w:pStyle w:val="Prrafodelista"/>
        <w:numPr>
          <w:ilvl w:val="0"/>
          <w:numId w:val="10"/>
        </w:numPr>
        <w:jc w:val="both"/>
        <w:rPr>
          <w:rFonts w:ascii="Arial" w:eastAsia="Arial" w:hAnsi="Arial" w:cs="Arial"/>
          <w:color w:val="0D0D0D" w:themeColor="text1" w:themeTint="F2"/>
          <w:sz w:val="24"/>
          <w:szCs w:val="24"/>
        </w:rPr>
      </w:pPr>
      <w:r w:rsidRPr="00A802F5">
        <w:rPr>
          <w:rFonts w:ascii="Arial" w:eastAsia="Arial" w:hAnsi="Arial" w:cs="Arial"/>
          <w:color w:val="0D0D0D" w:themeColor="text1" w:themeTint="F2"/>
          <w:sz w:val="24"/>
          <w:szCs w:val="24"/>
        </w:rPr>
        <w:t xml:space="preserve">Norma Oficial Mexicana NOM-073-SSA1-2015, estabilidad de fármacos y medicamentos, así como de remedios herbolarios. </w:t>
      </w:r>
    </w:p>
    <w:p w14:paraId="42975089" w14:textId="77777777" w:rsidR="005060A1" w:rsidRPr="00A802F5" w:rsidRDefault="005060A1" w:rsidP="00A802F5">
      <w:pPr>
        <w:pStyle w:val="Prrafodelista"/>
        <w:numPr>
          <w:ilvl w:val="0"/>
          <w:numId w:val="10"/>
        </w:numPr>
        <w:jc w:val="both"/>
        <w:rPr>
          <w:rFonts w:ascii="Arial" w:eastAsia="Arial" w:hAnsi="Arial" w:cs="Arial"/>
          <w:color w:val="0D0D0D" w:themeColor="text1" w:themeTint="F2"/>
          <w:sz w:val="24"/>
          <w:szCs w:val="24"/>
          <w:lang w:val="en-US"/>
        </w:rPr>
      </w:pPr>
      <w:r w:rsidRPr="00A802F5">
        <w:rPr>
          <w:rFonts w:ascii="Arial" w:eastAsia="Times New Roman" w:hAnsi="Arial" w:cs="Arial"/>
          <w:color w:val="0D0D0D" w:themeColor="text1" w:themeTint="F2"/>
          <w:sz w:val="24"/>
          <w:szCs w:val="24"/>
        </w:rPr>
        <w:t xml:space="preserve">OMS (2004). </w:t>
      </w:r>
      <w:r w:rsidR="0095518B" w:rsidRPr="00A802F5">
        <w:rPr>
          <w:rFonts w:ascii="Arial" w:eastAsia="Times New Roman" w:hAnsi="Arial" w:cs="Arial"/>
          <w:color w:val="0D0D0D" w:themeColor="text1" w:themeTint="F2"/>
          <w:sz w:val="24"/>
          <w:szCs w:val="24"/>
        </w:rPr>
        <w:t>Nuevas directrices de la OMS para fomentar el uso adecuado de las medicinas tradicionales</w:t>
      </w:r>
      <w:r w:rsidRPr="00A802F5">
        <w:rPr>
          <w:rFonts w:ascii="Arial" w:eastAsia="Times New Roman" w:hAnsi="Arial" w:cs="Arial"/>
          <w:color w:val="0D0D0D" w:themeColor="text1" w:themeTint="F2"/>
          <w:sz w:val="24"/>
          <w:szCs w:val="24"/>
        </w:rPr>
        <w:t xml:space="preserve">. </w:t>
      </w:r>
      <w:r w:rsidRPr="00A802F5">
        <w:rPr>
          <w:rFonts w:ascii="Arial" w:eastAsia="Times New Roman" w:hAnsi="Arial" w:cs="Arial"/>
          <w:color w:val="0D0D0D" w:themeColor="text1" w:themeTint="F2"/>
          <w:sz w:val="24"/>
          <w:szCs w:val="24"/>
          <w:lang w:val="en-US"/>
        </w:rPr>
        <w:t>[online]: http://www.who.int/mediacentre/news/releases/2004/pr44/es/</w:t>
      </w:r>
    </w:p>
    <w:p w14:paraId="41F96FE3" w14:textId="77777777" w:rsidR="005060A1" w:rsidRPr="00A802F5" w:rsidRDefault="005060A1" w:rsidP="00A802F5">
      <w:pPr>
        <w:pStyle w:val="Prrafodelista"/>
        <w:numPr>
          <w:ilvl w:val="0"/>
          <w:numId w:val="10"/>
        </w:numPr>
        <w:jc w:val="both"/>
        <w:rPr>
          <w:rFonts w:ascii="Arial" w:eastAsia="Arial" w:hAnsi="Arial" w:cs="Arial"/>
          <w:color w:val="0D0D0D" w:themeColor="text1" w:themeTint="F2"/>
          <w:sz w:val="24"/>
          <w:szCs w:val="24"/>
        </w:rPr>
      </w:pPr>
      <w:r w:rsidRPr="00A802F5">
        <w:rPr>
          <w:rFonts w:ascii="Arial" w:eastAsia="Times New Roman" w:hAnsi="Arial" w:cs="Arial"/>
          <w:color w:val="0D0D0D" w:themeColor="text1" w:themeTint="F2"/>
          <w:sz w:val="24"/>
          <w:szCs w:val="24"/>
        </w:rPr>
        <w:t xml:space="preserve">OMS. 2017. </w:t>
      </w:r>
      <w:r w:rsidR="0095518B" w:rsidRPr="00A802F5">
        <w:rPr>
          <w:rFonts w:ascii="Arial" w:eastAsia="Times New Roman" w:hAnsi="Arial" w:cs="Arial"/>
          <w:color w:val="0D0D0D" w:themeColor="text1" w:themeTint="F2"/>
          <w:sz w:val="24"/>
          <w:szCs w:val="24"/>
        </w:rPr>
        <w:t>Medicina tradicional: definiciones</w:t>
      </w:r>
      <w:r w:rsidRPr="00A802F5">
        <w:rPr>
          <w:rFonts w:ascii="Arial" w:eastAsia="Times New Roman" w:hAnsi="Arial" w:cs="Arial"/>
          <w:color w:val="0D0D0D" w:themeColor="text1" w:themeTint="F2"/>
          <w:sz w:val="24"/>
          <w:szCs w:val="24"/>
        </w:rPr>
        <w:t xml:space="preserve">. [online]: </w:t>
      </w:r>
      <w:hyperlink r:id="rId10">
        <w:r w:rsidRPr="00A802F5">
          <w:rPr>
            <w:rFonts w:ascii="Arial" w:eastAsia="Times New Roman" w:hAnsi="Arial" w:cs="Arial"/>
            <w:color w:val="0D0D0D" w:themeColor="text1" w:themeTint="F2"/>
            <w:sz w:val="24"/>
            <w:szCs w:val="24"/>
          </w:rPr>
          <w:t>http://www.who.int/topics/traditional_medicine/definitions/es/</w:t>
        </w:r>
      </w:hyperlink>
    </w:p>
    <w:p w14:paraId="19462252" w14:textId="77777777" w:rsidR="005060A1" w:rsidRPr="00A802F5" w:rsidRDefault="005060A1" w:rsidP="00A802F5">
      <w:pPr>
        <w:pStyle w:val="Prrafodelista"/>
        <w:numPr>
          <w:ilvl w:val="0"/>
          <w:numId w:val="10"/>
        </w:numPr>
        <w:jc w:val="both"/>
        <w:rPr>
          <w:rFonts w:ascii="Arial" w:hAnsi="Arial" w:cs="Arial"/>
          <w:color w:val="0D0D0D" w:themeColor="text1" w:themeTint="F2"/>
          <w:sz w:val="24"/>
          <w:szCs w:val="24"/>
          <w:lang w:val="en-US"/>
        </w:rPr>
      </w:pPr>
      <w:proofErr w:type="spellStart"/>
      <w:r w:rsidRPr="00A802F5">
        <w:rPr>
          <w:rFonts w:ascii="Arial" w:eastAsia="Arial" w:hAnsi="Arial" w:cs="Arial"/>
          <w:color w:val="0D0D0D" w:themeColor="text1" w:themeTint="F2"/>
          <w:sz w:val="24"/>
          <w:szCs w:val="24"/>
          <w:lang w:val="en-US"/>
        </w:rPr>
        <w:t>Pferschy-Wenzing</w:t>
      </w:r>
      <w:proofErr w:type="spellEnd"/>
      <w:r w:rsidRPr="00A802F5">
        <w:rPr>
          <w:rFonts w:ascii="Arial" w:eastAsia="Arial" w:hAnsi="Arial" w:cs="Arial"/>
          <w:color w:val="0D0D0D" w:themeColor="text1" w:themeTint="F2"/>
          <w:sz w:val="24"/>
          <w:szCs w:val="24"/>
          <w:lang w:val="en-US"/>
        </w:rPr>
        <w:t xml:space="preserve">, E. M., Bauer, R. (2015). The relevance of </w:t>
      </w:r>
      <w:proofErr w:type="spellStart"/>
      <w:r w:rsidRPr="00A802F5">
        <w:rPr>
          <w:rFonts w:ascii="Arial" w:eastAsia="Arial" w:hAnsi="Arial" w:cs="Arial"/>
          <w:color w:val="0D0D0D" w:themeColor="text1" w:themeTint="F2"/>
          <w:sz w:val="24"/>
          <w:szCs w:val="24"/>
          <w:lang w:val="en-US"/>
        </w:rPr>
        <w:t>pharmacognosy</w:t>
      </w:r>
      <w:proofErr w:type="spellEnd"/>
      <w:r w:rsidRPr="00A802F5">
        <w:rPr>
          <w:rFonts w:ascii="Arial" w:eastAsia="Arial" w:hAnsi="Arial" w:cs="Arial"/>
          <w:color w:val="0D0D0D" w:themeColor="text1" w:themeTint="F2"/>
          <w:sz w:val="24"/>
          <w:szCs w:val="24"/>
          <w:lang w:val="en-US"/>
        </w:rPr>
        <w:t xml:space="preserve"> in pharmacological research on herbal medicinal products</w:t>
      </w:r>
      <w:r w:rsidRPr="00A802F5">
        <w:rPr>
          <w:rFonts w:ascii="Arial" w:eastAsia="Arial" w:hAnsi="Arial" w:cs="Arial"/>
          <w:i/>
          <w:color w:val="0D0D0D" w:themeColor="text1" w:themeTint="F2"/>
          <w:sz w:val="24"/>
          <w:szCs w:val="24"/>
          <w:lang w:val="en-US"/>
        </w:rPr>
        <w:t>.</w:t>
      </w:r>
      <w:r w:rsidRPr="00A802F5">
        <w:rPr>
          <w:rFonts w:ascii="Arial" w:eastAsia="Arial" w:hAnsi="Arial" w:cs="Arial"/>
          <w:color w:val="0D0D0D" w:themeColor="text1" w:themeTint="F2"/>
          <w:sz w:val="24"/>
          <w:szCs w:val="24"/>
          <w:lang w:val="en-US"/>
        </w:rPr>
        <w:t xml:space="preserve"> </w:t>
      </w:r>
      <w:r w:rsidRPr="00A802F5">
        <w:rPr>
          <w:rFonts w:ascii="Arial" w:eastAsia="Arial" w:hAnsi="Arial" w:cs="Arial"/>
          <w:i/>
          <w:color w:val="0D0D0D" w:themeColor="text1" w:themeTint="F2"/>
          <w:sz w:val="24"/>
          <w:szCs w:val="24"/>
          <w:lang w:val="en-US"/>
        </w:rPr>
        <w:t>Epilepsy &amp; Behavior</w:t>
      </w:r>
      <w:r w:rsidRPr="00A802F5">
        <w:rPr>
          <w:rFonts w:ascii="Arial" w:eastAsia="Arial" w:hAnsi="Arial" w:cs="Arial"/>
          <w:color w:val="0D0D0D" w:themeColor="text1" w:themeTint="F2"/>
          <w:sz w:val="24"/>
          <w:szCs w:val="24"/>
          <w:lang w:val="en-US"/>
        </w:rPr>
        <w:t xml:space="preserve"> Vol. 52, pp. 344–362. </w:t>
      </w:r>
    </w:p>
    <w:p w14:paraId="329F68E0" w14:textId="77777777" w:rsidR="005060A1" w:rsidRPr="00A802F5" w:rsidRDefault="005060A1" w:rsidP="00A802F5">
      <w:pPr>
        <w:pStyle w:val="Prrafodelista"/>
        <w:numPr>
          <w:ilvl w:val="0"/>
          <w:numId w:val="10"/>
        </w:numPr>
        <w:jc w:val="both"/>
        <w:rPr>
          <w:rFonts w:ascii="Arial" w:hAnsi="Arial" w:cs="Arial"/>
          <w:color w:val="0D0D0D" w:themeColor="text1" w:themeTint="F2"/>
          <w:sz w:val="24"/>
          <w:szCs w:val="24"/>
          <w:lang w:val="en-US"/>
        </w:rPr>
      </w:pPr>
      <w:proofErr w:type="spellStart"/>
      <w:r w:rsidRPr="00A802F5">
        <w:rPr>
          <w:rFonts w:ascii="Arial" w:eastAsia="Times New Roman" w:hAnsi="Arial" w:cs="Arial"/>
          <w:color w:val="0D0D0D" w:themeColor="text1" w:themeTint="F2"/>
          <w:sz w:val="24"/>
          <w:szCs w:val="24"/>
          <w:lang w:val="en-US"/>
        </w:rPr>
        <w:t>Schieppati</w:t>
      </w:r>
      <w:proofErr w:type="spellEnd"/>
      <w:r w:rsidRPr="00A802F5">
        <w:rPr>
          <w:rFonts w:ascii="Arial" w:eastAsia="Times New Roman" w:hAnsi="Arial" w:cs="Arial"/>
          <w:color w:val="0D0D0D" w:themeColor="text1" w:themeTint="F2"/>
          <w:sz w:val="24"/>
          <w:szCs w:val="24"/>
          <w:lang w:val="en-US"/>
        </w:rPr>
        <w:t xml:space="preserve"> A, </w:t>
      </w:r>
      <w:proofErr w:type="spellStart"/>
      <w:r w:rsidRPr="00A802F5">
        <w:rPr>
          <w:rFonts w:ascii="Arial" w:eastAsia="Times New Roman" w:hAnsi="Arial" w:cs="Arial"/>
          <w:color w:val="0D0D0D" w:themeColor="text1" w:themeTint="F2"/>
          <w:sz w:val="24"/>
          <w:szCs w:val="24"/>
          <w:lang w:val="en-US"/>
        </w:rPr>
        <w:t>Remuzzi</w:t>
      </w:r>
      <w:proofErr w:type="spellEnd"/>
      <w:r w:rsidRPr="00A802F5">
        <w:rPr>
          <w:rFonts w:ascii="Arial" w:eastAsia="Times New Roman" w:hAnsi="Arial" w:cs="Arial"/>
          <w:color w:val="0D0D0D" w:themeColor="text1" w:themeTint="F2"/>
          <w:sz w:val="24"/>
          <w:szCs w:val="24"/>
          <w:lang w:val="en-US"/>
        </w:rPr>
        <w:t xml:space="preserve"> G. (2005). </w:t>
      </w:r>
      <w:r w:rsidR="0095518B" w:rsidRPr="00A802F5">
        <w:rPr>
          <w:rFonts w:ascii="Arial" w:eastAsia="Times New Roman" w:hAnsi="Arial" w:cs="Arial"/>
          <w:color w:val="0D0D0D" w:themeColor="text1" w:themeTint="F2"/>
          <w:sz w:val="24"/>
          <w:szCs w:val="24"/>
          <w:lang w:val="en-US"/>
        </w:rPr>
        <w:t xml:space="preserve">Chronic renal disease as a public health problem: epidemiology, social, and economic implications. </w:t>
      </w:r>
      <w:r w:rsidR="00904500">
        <w:rPr>
          <w:rFonts w:ascii="Arial" w:eastAsia="Times New Roman" w:hAnsi="Arial" w:cs="Arial"/>
          <w:i/>
          <w:color w:val="0D0D0D" w:themeColor="text1" w:themeTint="F2"/>
          <w:sz w:val="24"/>
          <w:szCs w:val="24"/>
        </w:rPr>
        <w:t>Kidney I</w:t>
      </w:r>
      <w:r w:rsidR="0095518B" w:rsidRPr="00A802F5">
        <w:rPr>
          <w:rFonts w:ascii="Arial" w:eastAsia="Times New Roman" w:hAnsi="Arial" w:cs="Arial"/>
          <w:i/>
          <w:color w:val="0D0D0D" w:themeColor="text1" w:themeTint="F2"/>
          <w:sz w:val="24"/>
          <w:szCs w:val="24"/>
        </w:rPr>
        <w:t>nternational</w:t>
      </w:r>
      <w:r w:rsidRPr="00A802F5">
        <w:rPr>
          <w:rFonts w:ascii="Arial" w:eastAsia="Times New Roman" w:hAnsi="Arial" w:cs="Arial"/>
          <w:color w:val="0D0D0D" w:themeColor="text1" w:themeTint="F2"/>
          <w:sz w:val="24"/>
          <w:szCs w:val="24"/>
        </w:rPr>
        <w:t>; 68 (S</w:t>
      </w:r>
      <w:r w:rsidR="0095518B" w:rsidRPr="00A802F5">
        <w:rPr>
          <w:rFonts w:ascii="Arial" w:eastAsia="Times New Roman" w:hAnsi="Arial" w:cs="Arial"/>
          <w:color w:val="0D0D0D" w:themeColor="text1" w:themeTint="F2"/>
          <w:sz w:val="24"/>
          <w:szCs w:val="24"/>
        </w:rPr>
        <w:t>upplement 98): pp. S7–S10.</w:t>
      </w:r>
    </w:p>
    <w:p w14:paraId="28871EFC" w14:textId="77777777" w:rsidR="00795191" w:rsidRPr="00A802F5" w:rsidRDefault="00795191" w:rsidP="005060A1">
      <w:pPr>
        <w:ind w:left="360"/>
        <w:jc w:val="both"/>
        <w:rPr>
          <w:rFonts w:ascii="Arial" w:hAnsi="Arial" w:cs="Arial"/>
          <w:color w:val="0D0D0D" w:themeColor="text1" w:themeTint="F2"/>
          <w:sz w:val="24"/>
          <w:szCs w:val="24"/>
          <w:lang w:val="en-US"/>
        </w:rPr>
      </w:pPr>
    </w:p>
    <w:sectPr w:rsidR="00795191" w:rsidRPr="00A802F5" w:rsidSect="00C57E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AD154" w14:textId="77777777" w:rsidR="00F44140" w:rsidRDefault="00F44140" w:rsidP="00CE2D87">
      <w:pPr>
        <w:spacing w:after="0" w:line="240" w:lineRule="auto"/>
      </w:pPr>
      <w:r>
        <w:separator/>
      </w:r>
    </w:p>
  </w:endnote>
  <w:endnote w:type="continuationSeparator" w:id="0">
    <w:p w14:paraId="15C04728" w14:textId="77777777" w:rsidR="00F44140" w:rsidRDefault="00F44140" w:rsidP="00CE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A6092" w14:textId="77777777" w:rsidR="00F44140" w:rsidRDefault="00F44140" w:rsidP="00CE2D87">
      <w:pPr>
        <w:spacing w:after="0" w:line="240" w:lineRule="auto"/>
      </w:pPr>
      <w:r>
        <w:separator/>
      </w:r>
    </w:p>
  </w:footnote>
  <w:footnote w:type="continuationSeparator" w:id="0">
    <w:p w14:paraId="522B2252" w14:textId="77777777" w:rsidR="00F44140" w:rsidRDefault="00F44140" w:rsidP="00CE2D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475E"/>
    <w:multiLevelType w:val="hybridMultilevel"/>
    <w:tmpl w:val="47781D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C277D8"/>
    <w:multiLevelType w:val="multilevel"/>
    <w:tmpl w:val="CCB4B4D4"/>
    <w:lvl w:ilvl="0">
      <w:start w:val="1"/>
      <w:numFmt w:val="decimal"/>
      <w:lvlText w:val="%1."/>
      <w:lvlJc w:val="left"/>
      <w:pPr>
        <w:ind w:left="360" w:firstLine="0"/>
      </w:pPr>
      <w:rPr>
        <w:b/>
      </w:rPr>
    </w:lvl>
    <w:lvl w:ilvl="1">
      <w:start w:val="1"/>
      <w:numFmt w:val="decimal"/>
      <w:lvlText w:val="%1.%2."/>
      <w:lvlJc w:val="left"/>
      <w:pPr>
        <w:ind w:left="792" w:firstLine="360"/>
      </w:pPr>
      <w:rPr>
        <w:b/>
      </w:rPr>
    </w:lvl>
    <w:lvl w:ilvl="2">
      <w:start w:val="1"/>
      <w:numFmt w:val="lowerLetter"/>
      <w:lvlText w:val="%3)"/>
      <w:lvlJc w:val="left"/>
      <w:pPr>
        <w:ind w:left="1224" w:firstLine="720"/>
      </w:pPr>
      <w:rPr>
        <w:b/>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0ACF4EDC"/>
    <w:multiLevelType w:val="hybridMultilevel"/>
    <w:tmpl w:val="2A86E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9E3E53"/>
    <w:multiLevelType w:val="hybridMultilevel"/>
    <w:tmpl w:val="8EAC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BB655E"/>
    <w:multiLevelType w:val="hybridMultilevel"/>
    <w:tmpl w:val="F8AC84EE"/>
    <w:lvl w:ilvl="0" w:tplc="17F8D0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D03533"/>
    <w:multiLevelType w:val="multilevel"/>
    <w:tmpl w:val="3000E4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51E331F"/>
    <w:multiLevelType w:val="hybridMultilevel"/>
    <w:tmpl w:val="2B3030F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BD0A8F"/>
    <w:multiLevelType w:val="hybridMultilevel"/>
    <w:tmpl w:val="9E362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2051A3"/>
    <w:multiLevelType w:val="hybridMultilevel"/>
    <w:tmpl w:val="3F0071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F22A4B"/>
    <w:multiLevelType w:val="multilevel"/>
    <w:tmpl w:val="8F6828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0"/>
  </w:num>
  <w:num w:numId="4">
    <w:abstractNumId w:val="9"/>
  </w:num>
  <w:num w:numId="5">
    <w:abstractNumId w:val="6"/>
  </w:num>
  <w:num w:numId="6">
    <w:abstractNumId w:val="1"/>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D8"/>
    <w:rsid w:val="000559CA"/>
    <w:rsid w:val="000C5D9F"/>
    <w:rsid w:val="002158E1"/>
    <w:rsid w:val="002C2143"/>
    <w:rsid w:val="002D4F16"/>
    <w:rsid w:val="00327E14"/>
    <w:rsid w:val="003B1500"/>
    <w:rsid w:val="003C3C16"/>
    <w:rsid w:val="004421C4"/>
    <w:rsid w:val="005060A1"/>
    <w:rsid w:val="00546997"/>
    <w:rsid w:val="005F638A"/>
    <w:rsid w:val="00616447"/>
    <w:rsid w:val="0062295F"/>
    <w:rsid w:val="0064340B"/>
    <w:rsid w:val="006561EA"/>
    <w:rsid w:val="00674C99"/>
    <w:rsid w:val="00720A36"/>
    <w:rsid w:val="0073572E"/>
    <w:rsid w:val="00795191"/>
    <w:rsid w:val="00806D4D"/>
    <w:rsid w:val="00825C3A"/>
    <w:rsid w:val="00827B4D"/>
    <w:rsid w:val="008374B8"/>
    <w:rsid w:val="00884794"/>
    <w:rsid w:val="0088493A"/>
    <w:rsid w:val="008E6744"/>
    <w:rsid w:val="00904500"/>
    <w:rsid w:val="00946505"/>
    <w:rsid w:val="0095518B"/>
    <w:rsid w:val="009A5FFF"/>
    <w:rsid w:val="00A802F5"/>
    <w:rsid w:val="00A8440E"/>
    <w:rsid w:val="00B96D11"/>
    <w:rsid w:val="00BA0F3F"/>
    <w:rsid w:val="00BB1182"/>
    <w:rsid w:val="00BE2884"/>
    <w:rsid w:val="00BE4920"/>
    <w:rsid w:val="00BF5173"/>
    <w:rsid w:val="00C57ED8"/>
    <w:rsid w:val="00C96DA4"/>
    <w:rsid w:val="00CE2D87"/>
    <w:rsid w:val="00CE6A80"/>
    <w:rsid w:val="00D35533"/>
    <w:rsid w:val="00D50E79"/>
    <w:rsid w:val="00D96DDC"/>
    <w:rsid w:val="00E10F5B"/>
    <w:rsid w:val="00E84083"/>
    <w:rsid w:val="00F1765D"/>
    <w:rsid w:val="00F44140"/>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47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E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7ED8"/>
    <w:pPr>
      <w:ind w:left="720"/>
      <w:contextualSpacing/>
    </w:pPr>
  </w:style>
  <w:style w:type="character" w:styleId="Hipervnculo">
    <w:name w:val="Hyperlink"/>
    <w:basedOn w:val="Fuentedeprrafopredeter"/>
    <w:uiPriority w:val="99"/>
    <w:unhideWhenUsed/>
    <w:rsid w:val="00CE2D87"/>
    <w:rPr>
      <w:color w:val="0000FF" w:themeColor="hyperlink"/>
      <w:u w:val="single"/>
    </w:rPr>
  </w:style>
  <w:style w:type="paragraph" w:styleId="Textonotapie">
    <w:name w:val="footnote text"/>
    <w:basedOn w:val="Normal"/>
    <w:link w:val="TextonotapieCar"/>
    <w:uiPriority w:val="99"/>
    <w:semiHidden/>
    <w:unhideWhenUsed/>
    <w:rsid w:val="00CE2D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2D87"/>
    <w:rPr>
      <w:sz w:val="20"/>
      <w:szCs w:val="20"/>
    </w:rPr>
  </w:style>
  <w:style w:type="character" w:styleId="Refdenotaalpie">
    <w:name w:val="footnote reference"/>
    <w:basedOn w:val="Fuentedeprrafopredeter"/>
    <w:uiPriority w:val="99"/>
    <w:semiHidden/>
    <w:unhideWhenUsed/>
    <w:rsid w:val="00CE2D87"/>
    <w:rPr>
      <w:vertAlign w:val="superscript"/>
    </w:rPr>
  </w:style>
  <w:style w:type="character" w:styleId="Textoennegrita">
    <w:name w:val="Strong"/>
    <w:basedOn w:val="Fuentedeprrafopredeter"/>
    <w:uiPriority w:val="22"/>
    <w:qFormat/>
    <w:rsid w:val="00CE2D87"/>
    <w:rPr>
      <w:b/>
      <w:bCs/>
    </w:rPr>
  </w:style>
  <w:style w:type="table" w:styleId="Tablaconcuadrcula">
    <w:name w:val="Table Grid"/>
    <w:basedOn w:val="Tablanormal"/>
    <w:uiPriority w:val="59"/>
    <w:rsid w:val="0073572E"/>
    <w:pPr>
      <w:spacing w:after="0" w:line="240" w:lineRule="auto"/>
    </w:pPr>
    <w:rPr>
      <w:rFonts w:ascii="Calibri" w:eastAsia="Calibri" w:hAnsi="Calibri" w:cs="Calibri"/>
      <w:color w:val="00000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88493A"/>
    <w:rPr>
      <w:color w:val="808080"/>
    </w:rPr>
  </w:style>
  <w:style w:type="paragraph" w:styleId="Textodeglobo">
    <w:name w:val="Balloon Text"/>
    <w:basedOn w:val="Normal"/>
    <w:link w:val="TextodegloboCar"/>
    <w:uiPriority w:val="99"/>
    <w:semiHidden/>
    <w:unhideWhenUsed/>
    <w:rsid w:val="008849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93A"/>
    <w:rPr>
      <w:rFonts w:ascii="Tahoma" w:hAnsi="Tahoma" w:cs="Tahoma"/>
      <w:sz w:val="16"/>
      <w:szCs w:val="16"/>
    </w:rPr>
  </w:style>
  <w:style w:type="character" w:styleId="nfasis">
    <w:name w:val="Emphasis"/>
    <w:basedOn w:val="Fuentedeprrafopredeter"/>
    <w:uiPriority w:val="20"/>
    <w:qFormat/>
    <w:rsid w:val="00884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renalis.com.mx/la-insuficiencia-renal-en-mexico/" TargetMode="External"/><Relationship Id="rId10" Type="http://schemas.openxmlformats.org/officeDocument/2006/relationships/hyperlink" Target="http://www.who.int/topics/traditional_medicine/definition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2184</Words>
  <Characters>12016</Characters>
  <Application>Microsoft Macintosh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Yáñez</dc:creator>
  <cp:lastModifiedBy>Usuario de Microsoft Office</cp:lastModifiedBy>
  <cp:revision>2</cp:revision>
  <dcterms:created xsi:type="dcterms:W3CDTF">2017-09-01T03:45:00Z</dcterms:created>
  <dcterms:modified xsi:type="dcterms:W3CDTF">2017-09-01T03:45:00Z</dcterms:modified>
</cp:coreProperties>
</file>