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89" w:rsidRDefault="00D30A89" w:rsidP="00CD59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A89" w:rsidRDefault="00D30A89" w:rsidP="00CD59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1455C" w:rsidRPr="00FC7A5D" w:rsidRDefault="00FC7A5D" w:rsidP="00CD59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7A5D">
        <w:rPr>
          <w:rFonts w:ascii="Arial" w:hAnsi="Arial" w:cs="Arial"/>
          <w:b/>
          <w:sz w:val="24"/>
          <w:szCs w:val="24"/>
        </w:rPr>
        <w:t xml:space="preserve">OPTIMIZACIÓN DE LA EXTRACCIÓN DE KAFIRINAS MEDIANTE </w:t>
      </w:r>
      <w:r w:rsidR="007D10E3">
        <w:rPr>
          <w:rFonts w:ascii="Arial" w:hAnsi="Arial" w:cs="Arial"/>
          <w:b/>
          <w:sz w:val="24"/>
          <w:szCs w:val="24"/>
        </w:rPr>
        <w:t>LA APLICACIÓN DE UN PRETRATAMIENTO CON α-AMILASA</w:t>
      </w:r>
    </w:p>
    <w:p w:rsidR="00A4669F" w:rsidRPr="00FC7A5D" w:rsidRDefault="00A4669F" w:rsidP="00CD59CC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:rsidR="00DC5A13" w:rsidRDefault="00DC5A13" w:rsidP="00CD59CC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:rsidR="00D30A89" w:rsidRDefault="00D30A89" w:rsidP="00CD59CC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:rsidR="00D30A89" w:rsidRPr="00FC7A5D" w:rsidRDefault="00D30A89" w:rsidP="00CD59CC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:rsidR="00DC5A13" w:rsidRPr="00FC7A5D" w:rsidRDefault="00DC5A13" w:rsidP="00CD59CC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:rsidR="007D20CD" w:rsidRPr="002C6BD7" w:rsidRDefault="007D20CD" w:rsidP="00394E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6BD7">
        <w:rPr>
          <w:rFonts w:ascii="Arial" w:hAnsi="Arial" w:cs="Arial"/>
          <w:sz w:val="20"/>
          <w:szCs w:val="20"/>
        </w:rPr>
        <w:t>Castro-Jácome, T.</w:t>
      </w:r>
      <w:r w:rsidR="00B31746">
        <w:rPr>
          <w:rFonts w:ascii="Arial" w:hAnsi="Arial" w:cs="Arial"/>
          <w:sz w:val="20"/>
          <w:szCs w:val="20"/>
        </w:rPr>
        <w:t xml:space="preserve"> </w:t>
      </w:r>
      <w:r w:rsidRPr="002C6BD7">
        <w:rPr>
          <w:rFonts w:ascii="Arial" w:hAnsi="Arial" w:cs="Arial"/>
          <w:sz w:val="20"/>
          <w:szCs w:val="20"/>
        </w:rPr>
        <w:t>P.</w:t>
      </w:r>
      <w:r w:rsidR="00F32303" w:rsidRPr="002C6BD7">
        <w:rPr>
          <w:rFonts w:ascii="Arial" w:hAnsi="Arial" w:cs="Arial"/>
          <w:sz w:val="20"/>
          <w:szCs w:val="20"/>
          <w:vertAlign w:val="superscript"/>
        </w:rPr>
        <w:t>1</w:t>
      </w:r>
      <w:r w:rsidRPr="002C6BD7">
        <w:rPr>
          <w:rFonts w:ascii="Arial" w:hAnsi="Arial" w:cs="Arial"/>
          <w:sz w:val="20"/>
          <w:szCs w:val="20"/>
        </w:rPr>
        <w:t xml:space="preserve">, </w:t>
      </w:r>
      <w:r w:rsidR="0004332B" w:rsidRPr="002C6BD7">
        <w:rPr>
          <w:rFonts w:ascii="Arial" w:hAnsi="Arial" w:cs="Arial"/>
          <w:sz w:val="20"/>
          <w:szCs w:val="20"/>
        </w:rPr>
        <w:t xml:space="preserve"> </w:t>
      </w:r>
      <w:r w:rsidR="00B31746" w:rsidRPr="002C6BD7">
        <w:rPr>
          <w:rFonts w:ascii="Arial" w:hAnsi="Arial" w:cs="Arial"/>
          <w:sz w:val="20"/>
          <w:szCs w:val="20"/>
        </w:rPr>
        <w:t>Montalvo-González, E.</w:t>
      </w:r>
      <w:r w:rsidR="00B31746" w:rsidRPr="002C6BD7">
        <w:rPr>
          <w:rFonts w:ascii="Arial" w:hAnsi="Arial" w:cs="Arial"/>
          <w:sz w:val="20"/>
          <w:szCs w:val="20"/>
          <w:vertAlign w:val="superscript"/>
        </w:rPr>
        <w:t>1</w:t>
      </w:r>
      <w:r w:rsidR="0004332B" w:rsidRPr="002C6BD7">
        <w:rPr>
          <w:rFonts w:ascii="Arial" w:hAnsi="Arial" w:cs="Arial"/>
          <w:sz w:val="20"/>
          <w:szCs w:val="20"/>
        </w:rPr>
        <w:t>,</w:t>
      </w:r>
      <w:r w:rsidR="00B31746" w:rsidRPr="00B31746">
        <w:rPr>
          <w:rFonts w:ascii="Arial" w:hAnsi="Arial" w:cs="Arial"/>
          <w:sz w:val="20"/>
          <w:szCs w:val="20"/>
        </w:rPr>
        <w:t xml:space="preserve"> </w:t>
      </w:r>
      <w:r w:rsidR="00B31746">
        <w:rPr>
          <w:rFonts w:ascii="Arial" w:hAnsi="Arial" w:cs="Arial"/>
          <w:sz w:val="20"/>
          <w:szCs w:val="20"/>
        </w:rPr>
        <w:t>Aguilera-Aguirre, S</w:t>
      </w:r>
      <w:r w:rsidR="00B31746" w:rsidRPr="002C6BD7">
        <w:rPr>
          <w:rFonts w:ascii="Arial" w:hAnsi="Arial" w:cs="Arial"/>
          <w:sz w:val="20"/>
          <w:szCs w:val="20"/>
        </w:rPr>
        <w:t>.</w:t>
      </w:r>
      <w:r w:rsidR="00B31746" w:rsidRPr="002C6BD7">
        <w:rPr>
          <w:rFonts w:ascii="Arial" w:hAnsi="Arial" w:cs="Arial"/>
          <w:sz w:val="20"/>
          <w:szCs w:val="20"/>
          <w:vertAlign w:val="superscript"/>
        </w:rPr>
        <w:t>1</w:t>
      </w:r>
      <w:r w:rsidR="00B31746">
        <w:rPr>
          <w:rFonts w:ascii="Arial" w:hAnsi="Arial" w:cs="Arial"/>
          <w:sz w:val="20"/>
          <w:szCs w:val="20"/>
        </w:rPr>
        <w:t>, Alcántara-Quintana, L</w:t>
      </w:r>
      <w:r w:rsidR="00B31746" w:rsidRPr="002C6BD7">
        <w:rPr>
          <w:rFonts w:ascii="Arial" w:hAnsi="Arial" w:cs="Arial"/>
          <w:sz w:val="20"/>
          <w:szCs w:val="20"/>
        </w:rPr>
        <w:t>.</w:t>
      </w:r>
      <w:r w:rsidR="00B31746">
        <w:rPr>
          <w:rFonts w:ascii="Arial" w:hAnsi="Arial" w:cs="Arial"/>
          <w:sz w:val="20"/>
          <w:szCs w:val="20"/>
        </w:rPr>
        <w:t xml:space="preserve"> E.</w:t>
      </w:r>
      <w:r w:rsidR="00B31746">
        <w:rPr>
          <w:rFonts w:ascii="Arial" w:hAnsi="Arial" w:cs="Arial"/>
          <w:sz w:val="20"/>
          <w:szCs w:val="20"/>
          <w:vertAlign w:val="superscript"/>
        </w:rPr>
        <w:t>2</w:t>
      </w:r>
      <w:r w:rsidR="00B31746">
        <w:rPr>
          <w:rFonts w:ascii="Arial" w:hAnsi="Arial" w:cs="Arial"/>
          <w:sz w:val="20"/>
          <w:szCs w:val="20"/>
        </w:rPr>
        <w:t>,  López-García, U</w:t>
      </w:r>
      <w:r w:rsidR="00B31746" w:rsidRPr="002C6BD7">
        <w:rPr>
          <w:rFonts w:ascii="Arial" w:hAnsi="Arial" w:cs="Arial"/>
          <w:sz w:val="20"/>
          <w:szCs w:val="20"/>
        </w:rPr>
        <w:t>.</w:t>
      </w:r>
      <w:r w:rsidR="00B31746">
        <w:rPr>
          <w:rFonts w:ascii="Arial" w:hAnsi="Arial" w:cs="Arial"/>
          <w:sz w:val="20"/>
          <w:szCs w:val="20"/>
        </w:rPr>
        <w:t>M.</w:t>
      </w:r>
      <w:r w:rsidR="00B31746" w:rsidRPr="002C6BD7">
        <w:rPr>
          <w:rFonts w:ascii="Arial" w:hAnsi="Arial" w:cs="Arial"/>
          <w:sz w:val="20"/>
          <w:szCs w:val="20"/>
          <w:vertAlign w:val="superscript"/>
        </w:rPr>
        <w:t>1</w:t>
      </w:r>
      <w:r w:rsidR="00B31746">
        <w:rPr>
          <w:rFonts w:ascii="Arial" w:hAnsi="Arial" w:cs="Arial"/>
          <w:sz w:val="20"/>
          <w:szCs w:val="20"/>
        </w:rPr>
        <w:t xml:space="preserve">, </w:t>
      </w:r>
      <w:r w:rsidR="0004332B" w:rsidRPr="002C6BD7">
        <w:rPr>
          <w:rFonts w:ascii="Arial" w:hAnsi="Arial" w:cs="Arial"/>
          <w:sz w:val="20"/>
          <w:szCs w:val="20"/>
        </w:rPr>
        <w:t>Tovar-Pérez, E.G.</w:t>
      </w:r>
      <w:r w:rsidR="0004332B" w:rsidRPr="002C6BD7">
        <w:rPr>
          <w:rFonts w:ascii="Arial" w:hAnsi="Arial" w:cs="Arial"/>
          <w:sz w:val="20"/>
          <w:szCs w:val="20"/>
          <w:vertAlign w:val="superscript"/>
        </w:rPr>
        <w:t>1*</w:t>
      </w:r>
    </w:p>
    <w:p w:rsidR="00063813" w:rsidRDefault="00063813" w:rsidP="007757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7045" w:rsidRPr="002C6BD7" w:rsidRDefault="00DF7045" w:rsidP="007757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4E81" w:rsidRDefault="00F32303" w:rsidP="00DF7045">
      <w:pPr>
        <w:spacing w:after="0" w:line="240" w:lineRule="auto"/>
        <w:jc w:val="center"/>
        <w:rPr>
          <w:rStyle w:val="Hipervnculo"/>
          <w:rFonts w:ascii="Arial" w:hAnsi="Arial" w:cs="Arial"/>
          <w:sz w:val="20"/>
          <w:szCs w:val="20"/>
        </w:rPr>
      </w:pPr>
      <w:r w:rsidRPr="002C6BD7">
        <w:rPr>
          <w:rFonts w:ascii="Arial" w:hAnsi="Arial" w:cs="Arial"/>
          <w:sz w:val="20"/>
          <w:szCs w:val="20"/>
          <w:vertAlign w:val="superscript"/>
        </w:rPr>
        <w:t>1</w:t>
      </w:r>
      <w:r w:rsidR="00063813" w:rsidRPr="002C6BD7">
        <w:rPr>
          <w:rFonts w:ascii="Arial" w:hAnsi="Arial" w:cs="Arial"/>
          <w:sz w:val="20"/>
          <w:szCs w:val="20"/>
        </w:rPr>
        <w:t xml:space="preserve"> Laboratorio Integral de Investigación en Alimentos, </w:t>
      </w:r>
      <w:r w:rsidR="00577388" w:rsidRPr="002C6BD7">
        <w:rPr>
          <w:rFonts w:ascii="Arial" w:hAnsi="Arial" w:cs="Arial"/>
          <w:sz w:val="20"/>
          <w:szCs w:val="20"/>
        </w:rPr>
        <w:t>Instituto Tecnológico de Tepic.</w:t>
      </w:r>
      <w:r w:rsidRPr="002C6BD7">
        <w:rPr>
          <w:rFonts w:ascii="Arial" w:hAnsi="Arial" w:cs="Arial"/>
          <w:sz w:val="20"/>
          <w:szCs w:val="20"/>
        </w:rPr>
        <w:t xml:space="preserve"> Av. Tecnológico No. 2595, Col. Lagos del Country,</w:t>
      </w:r>
      <w:r w:rsidR="00394E81">
        <w:rPr>
          <w:rFonts w:ascii="Arial" w:hAnsi="Arial" w:cs="Arial"/>
          <w:sz w:val="20"/>
          <w:szCs w:val="20"/>
        </w:rPr>
        <w:t xml:space="preserve"> 63175, Tepic, Nayarit, México.</w:t>
      </w:r>
      <w:r w:rsidR="00394E81" w:rsidRPr="00394E8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94E81" w:rsidRPr="005D355A">
        <w:rPr>
          <w:rFonts w:ascii="Arial" w:hAnsi="Arial" w:cs="Arial"/>
          <w:sz w:val="20"/>
          <w:szCs w:val="20"/>
          <w:vertAlign w:val="superscript"/>
        </w:rPr>
        <w:t>*</w:t>
      </w:r>
      <w:r w:rsidR="00394E81" w:rsidRPr="005D355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94E81" w:rsidRPr="005D355A">
          <w:rPr>
            <w:rStyle w:val="Hipervnculo"/>
            <w:rFonts w:ascii="Arial" w:hAnsi="Arial" w:cs="Arial"/>
            <w:sz w:val="20"/>
            <w:szCs w:val="20"/>
          </w:rPr>
          <w:t>egtovarpe@conacyt.mx</w:t>
        </w:r>
      </w:hyperlink>
    </w:p>
    <w:p w:rsidR="00DF7045" w:rsidRDefault="00DF7045" w:rsidP="00DF70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5052" w:rsidRPr="005D355A" w:rsidRDefault="00394E81" w:rsidP="00DF70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59CC">
        <w:rPr>
          <w:rFonts w:ascii="Arial" w:hAnsi="Arial" w:cs="Arial"/>
          <w:sz w:val="20"/>
          <w:szCs w:val="20"/>
          <w:vertAlign w:val="superscript"/>
        </w:rPr>
        <w:t>2</w:t>
      </w:r>
      <w:r w:rsidRPr="00CD59CC">
        <w:rPr>
          <w:rFonts w:ascii="Arial" w:hAnsi="Arial" w:cs="Arial"/>
          <w:sz w:val="20"/>
          <w:szCs w:val="20"/>
        </w:rPr>
        <w:t xml:space="preserve"> Facultad de Enfermería y Nutrición, UASLP. Av. Niño Artillero No. 130, Zona Universitaria, 78240, S.L.P., México.</w:t>
      </w:r>
    </w:p>
    <w:p w:rsidR="00262B68" w:rsidRDefault="00262B68" w:rsidP="00262B68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68C5" w:rsidRPr="005D355A" w:rsidRDefault="000E68C5" w:rsidP="00262B68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30A89" w:rsidRPr="005D355A" w:rsidRDefault="00D30A89" w:rsidP="00262B68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93EE3" w:rsidRDefault="00F776D3" w:rsidP="00D30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0E3">
        <w:rPr>
          <w:rFonts w:ascii="Arial" w:eastAsia="Times New Roman" w:hAnsi="Arial" w:cs="Arial"/>
          <w:sz w:val="24"/>
          <w:szCs w:val="24"/>
          <w:lang w:val="es-ES" w:eastAsia="es-MX"/>
        </w:rPr>
        <w:t>El s</w:t>
      </w:r>
      <w:r w:rsidR="00262B68" w:rsidRPr="00262B68">
        <w:rPr>
          <w:rFonts w:ascii="Arial" w:eastAsia="Times New Roman" w:hAnsi="Arial" w:cs="Arial"/>
          <w:sz w:val="24"/>
          <w:szCs w:val="24"/>
          <w:lang w:val="es-ES" w:eastAsia="es-MX"/>
        </w:rPr>
        <w:t>orgo (</w:t>
      </w:r>
      <w:proofErr w:type="spellStart"/>
      <w:r w:rsidR="00262B68" w:rsidRPr="00262B68">
        <w:rPr>
          <w:rFonts w:ascii="Arial" w:eastAsia="Times New Roman" w:hAnsi="Arial" w:cs="Arial"/>
          <w:i/>
          <w:sz w:val="24"/>
          <w:szCs w:val="24"/>
          <w:lang w:val="es-ES" w:eastAsia="es-MX"/>
        </w:rPr>
        <w:t>Sorghum</w:t>
      </w:r>
      <w:proofErr w:type="spellEnd"/>
      <w:r w:rsidR="00262B68" w:rsidRPr="00262B68"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 bicolor</w:t>
      </w:r>
      <w:r w:rsidR="00262B68" w:rsidRPr="00262B68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L. </w:t>
      </w:r>
      <w:proofErr w:type="spellStart"/>
      <w:r w:rsidR="00262B68" w:rsidRPr="00262B68">
        <w:rPr>
          <w:rFonts w:ascii="Arial" w:eastAsia="Times New Roman" w:hAnsi="Arial" w:cs="Arial"/>
          <w:sz w:val="24"/>
          <w:szCs w:val="24"/>
          <w:lang w:val="es-ES" w:eastAsia="es-MX"/>
        </w:rPr>
        <w:t>Moench</w:t>
      </w:r>
      <w:proofErr w:type="spellEnd"/>
      <w:r w:rsidR="00262B68" w:rsidRPr="00262B68">
        <w:rPr>
          <w:rFonts w:ascii="Arial" w:eastAsia="Times New Roman" w:hAnsi="Arial" w:cs="Arial"/>
          <w:sz w:val="24"/>
          <w:szCs w:val="24"/>
          <w:lang w:val="es-ES" w:eastAsia="es-MX"/>
        </w:rPr>
        <w:t xml:space="preserve">) es un cereal único </w:t>
      </w:r>
      <w:r w:rsidR="00DC5A13" w:rsidRPr="007D10E3">
        <w:rPr>
          <w:rFonts w:ascii="Arial" w:eastAsia="Times New Roman" w:hAnsi="Arial" w:cs="Arial"/>
          <w:sz w:val="24"/>
          <w:szCs w:val="24"/>
          <w:lang w:val="es-ES" w:eastAsia="es-MX"/>
        </w:rPr>
        <w:t xml:space="preserve">que presenta </w:t>
      </w:r>
      <w:r w:rsidR="00262B68" w:rsidRPr="00262B68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tolerancia a la sequía y </w:t>
      </w:r>
      <w:r w:rsidR="00DC5A13" w:rsidRPr="007D10E3">
        <w:rPr>
          <w:rFonts w:ascii="Arial" w:eastAsia="Times New Roman" w:hAnsi="Arial" w:cs="Arial"/>
          <w:sz w:val="24"/>
          <w:szCs w:val="24"/>
          <w:lang w:val="es-ES" w:eastAsia="es-MX"/>
        </w:rPr>
        <w:t>adaptación a zonas</w:t>
      </w:r>
      <w:r w:rsidR="00262B68" w:rsidRPr="00262B68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tropicales y subtropicales</w:t>
      </w:r>
      <w:r w:rsidR="009D2311" w:rsidRPr="007D10E3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  <w:r w:rsidR="0042287B" w:rsidRPr="007D10E3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5D355A">
        <w:rPr>
          <w:rFonts w:ascii="Arial" w:eastAsia="Times New Roman" w:hAnsi="Arial" w:cs="Arial"/>
          <w:sz w:val="24"/>
          <w:szCs w:val="24"/>
          <w:lang w:val="es-ES" w:eastAsia="es-MX"/>
        </w:rPr>
        <w:t>L</w:t>
      </w:r>
      <w:r w:rsidRPr="007D10E3">
        <w:rPr>
          <w:rFonts w:ascii="Arial" w:eastAsia="Times New Roman" w:hAnsi="Arial" w:cs="Arial"/>
          <w:sz w:val="24"/>
          <w:szCs w:val="24"/>
          <w:lang w:val="es-ES" w:eastAsia="es-MX"/>
        </w:rPr>
        <w:t>as</w:t>
      </w:r>
      <w:r w:rsidR="00691D78" w:rsidRPr="007D10E3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kafirinas (KAF),</w:t>
      </w:r>
      <w:r w:rsidR="005D355A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principales proteínas de este cereal,</w:t>
      </w:r>
      <w:r w:rsidR="009D2311" w:rsidRPr="009D231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se encuentran en los cuerpos proteicos del endospermo</w:t>
      </w:r>
      <w:r w:rsidR="00691D78" w:rsidRPr="007D10E3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rodeadas por gránulos de almidón que dificultan su extracción</w:t>
      </w:r>
      <w:r w:rsidR="009D2311" w:rsidRPr="009D2311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  <w:r w:rsidR="00691D78" w:rsidRPr="007D10E3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Dichas proteí</w:t>
      </w:r>
      <w:r w:rsidR="005D355A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nas </w:t>
      </w:r>
      <w:r w:rsidR="00691D78" w:rsidRPr="007D10E3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pueden ser </w:t>
      </w:r>
      <w:r w:rsidR="005D355A">
        <w:rPr>
          <w:rFonts w:ascii="Arial" w:eastAsia="Times New Roman" w:hAnsi="Arial" w:cs="Arial"/>
          <w:sz w:val="24"/>
          <w:szCs w:val="24"/>
          <w:lang w:val="es-ES" w:eastAsia="es-MX"/>
        </w:rPr>
        <w:t>utilizadas como materia prima para la producción de ingredientes funcionales y compuestos bioactivos</w:t>
      </w:r>
      <w:r w:rsidR="00691D78" w:rsidRPr="007D10E3">
        <w:rPr>
          <w:rFonts w:ascii="Arial" w:hAnsi="Arial" w:cs="Arial"/>
          <w:sz w:val="24"/>
          <w:szCs w:val="24"/>
        </w:rPr>
        <w:t xml:space="preserve">. </w:t>
      </w:r>
      <w:r w:rsidR="00775777" w:rsidRPr="007D10E3">
        <w:rPr>
          <w:rFonts w:ascii="Arial" w:hAnsi="Arial" w:cs="Arial"/>
          <w:sz w:val="24"/>
          <w:lang w:val="es-ES"/>
        </w:rPr>
        <w:t>Por lo que, el ob</w:t>
      </w:r>
      <w:r w:rsidR="0042287B" w:rsidRPr="007D10E3">
        <w:rPr>
          <w:rFonts w:ascii="Arial" w:hAnsi="Arial" w:cs="Arial"/>
          <w:sz w:val="24"/>
          <w:lang w:val="es-ES"/>
        </w:rPr>
        <w:t xml:space="preserve">jetivo del presente estudio fue </w:t>
      </w:r>
      <w:r w:rsidR="0042287B" w:rsidRPr="007D10E3">
        <w:rPr>
          <w:rFonts w:ascii="Arial" w:hAnsi="Arial" w:cs="Arial"/>
          <w:sz w:val="24"/>
        </w:rPr>
        <w:t>determinar</w:t>
      </w:r>
      <w:r w:rsidR="00775777" w:rsidRPr="007D10E3">
        <w:rPr>
          <w:rFonts w:ascii="Arial" w:hAnsi="Arial" w:cs="Arial"/>
          <w:sz w:val="24"/>
        </w:rPr>
        <w:t xml:space="preserve"> las condici</w:t>
      </w:r>
      <w:r w:rsidR="005D355A">
        <w:rPr>
          <w:rFonts w:ascii="Arial" w:hAnsi="Arial" w:cs="Arial"/>
          <w:sz w:val="24"/>
        </w:rPr>
        <w:t xml:space="preserve">ones de tratamiento con </w:t>
      </w:r>
      <w:r w:rsidR="005D355A" w:rsidRPr="007D10E3">
        <w:rPr>
          <w:rFonts w:ascii="Arial" w:hAnsi="Arial" w:cs="Arial"/>
          <w:sz w:val="24"/>
          <w:szCs w:val="24"/>
        </w:rPr>
        <w:t>α-</w:t>
      </w:r>
      <w:r w:rsidR="005D355A">
        <w:rPr>
          <w:rFonts w:ascii="Arial" w:hAnsi="Arial" w:cs="Arial"/>
          <w:sz w:val="24"/>
        </w:rPr>
        <w:t>amilasa</w:t>
      </w:r>
      <w:r w:rsidR="00775777" w:rsidRPr="007D10E3">
        <w:rPr>
          <w:rFonts w:ascii="Arial" w:hAnsi="Arial" w:cs="Arial"/>
          <w:sz w:val="24"/>
        </w:rPr>
        <w:t xml:space="preserve"> que proporcionen el mayor rendimiento </w:t>
      </w:r>
      <w:r w:rsidR="00691D78" w:rsidRPr="007D10E3">
        <w:rPr>
          <w:rFonts w:ascii="Arial" w:hAnsi="Arial" w:cs="Arial"/>
          <w:sz w:val="24"/>
        </w:rPr>
        <w:t>de KAF</w:t>
      </w:r>
      <w:r w:rsidR="00775777" w:rsidRPr="007D10E3">
        <w:rPr>
          <w:rFonts w:ascii="Arial" w:hAnsi="Arial" w:cs="Arial"/>
          <w:sz w:val="24"/>
        </w:rPr>
        <w:t xml:space="preserve"> del grano de sorgo blanco (Perla 101)</w:t>
      </w:r>
      <w:r w:rsidR="005D355A">
        <w:rPr>
          <w:rFonts w:ascii="Arial" w:hAnsi="Arial" w:cs="Arial"/>
          <w:sz w:val="24"/>
        </w:rPr>
        <w:t>.</w:t>
      </w:r>
      <w:r w:rsidR="00D30A89">
        <w:rPr>
          <w:rFonts w:ascii="Arial" w:hAnsi="Arial" w:cs="Arial"/>
          <w:sz w:val="24"/>
        </w:rPr>
        <w:t xml:space="preserve"> </w:t>
      </w:r>
      <w:r w:rsidRPr="007D10E3">
        <w:rPr>
          <w:rFonts w:ascii="Arial" w:hAnsi="Arial" w:cs="Arial"/>
          <w:sz w:val="24"/>
          <w:szCs w:val="24"/>
        </w:rPr>
        <w:t>El grano de sorgo</w:t>
      </w:r>
      <w:r w:rsidR="005C36F0" w:rsidRPr="007D10E3">
        <w:rPr>
          <w:rFonts w:ascii="Arial" w:hAnsi="Arial" w:cs="Arial"/>
          <w:sz w:val="24"/>
          <w:szCs w:val="24"/>
        </w:rPr>
        <w:t xml:space="preserve">, </w:t>
      </w:r>
      <w:r w:rsidRPr="007D10E3">
        <w:rPr>
          <w:rFonts w:ascii="Arial" w:hAnsi="Arial" w:cs="Arial"/>
          <w:sz w:val="24"/>
          <w:szCs w:val="24"/>
        </w:rPr>
        <w:t>se sometió</w:t>
      </w:r>
      <w:r w:rsidR="005C36F0" w:rsidRPr="007D10E3">
        <w:rPr>
          <w:rFonts w:ascii="Arial" w:hAnsi="Arial" w:cs="Arial"/>
          <w:sz w:val="24"/>
          <w:szCs w:val="24"/>
        </w:rPr>
        <w:t xml:space="preserve"> a una molienda</w:t>
      </w:r>
      <w:r w:rsidR="00DC5A13" w:rsidRPr="007D10E3">
        <w:rPr>
          <w:rFonts w:ascii="Arial" w:hAnsi="Arial" w:cs="Arial"/>
          <w:sz w:val="24"/>
          <w:szCs w:val="24"/>
        </w:rPr>
        <w:t>. L</w:t>
      </w:r>
      <w:r w:rsidR="005C36F0" w:rsidRPr="007D10E3">
        <w:rPr>
          <w:rFonts w:ascii="Arial" w:hAnsi="Arial" w:cs="Arial"/>
          <w:sz w:val="24"/>
          <w:szCs w:val="24"/>
        </w:rPr>
        <w:t>a harina obtenida fue tratada con α-amilasa (pH 7.5 y 60</w:t>
      </w:r>
      <w:r w:rsidR="00BE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6F0" w:rsidRPr="007D10E3">
        <w:rPr>
          <w:rFonts w:ascii="Arial" w:hAnsi="Arial" w:cs="Arial"/>
          <w:sz w:val="24"/>
          <w:szCs w:val="24"/>
          <w:vertAlign w:val="superscript"/>
        </w:rPr>
        <w:t>o</w:t>
      </w:r>
      <w:r w:rsidR="005C36F0" w:rsidRPr="007D10E3">
        <w:rPr>
          <w:rFonts w:ascii="Arial" w:hAnsi="Arial" w:cs="Arial"/>
          <w:sz w:val="24"/>
          <w:szCs w:val="24"/>
        </w:rPr>
        <w:t>C</w:t>
      </w:r>
      <w:proofErr w:type="spellEnd"/>
      <w:r w:rsidR="005C36F0" w:rsidRPr="007D10E3">
        <w:rPr>
          <w:rFonts w:ascii="Arial" w:hAnsi="Arial" w:cs="Arial"/>
          <w:sz w:val="24"/>
          <w:szCs w:val="24"/>
        </w:rPr>
        <w:t xml:space="preserve"> ) y se aplicó la metodología de superficie de respuesta (MRS) utilizando un diseño factorial completo 3</w:t>
      </w:r>
      <w:r w:rsidR="005C36F0" w:rsidRPr="007D10E3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5C36F0" w:rsidRPr="007D10E3">
        <w:rPr>
          <w:rFonts w:ascii="Arial" w:hAnsi="Arial" w:cs="Arial"/>
          <w:sz w:val="24"/>
          <w:szCs w:val="24"/>
        </w:rPr>
        <w:t xml:space="preserve"> en los cuales los niveles para el factor tiempo (t) fueron 30, 60 y 120 min y para </w:t>
      </w:r>
      <w:r w:rsidRPr="007D10E3">
        <w:rPr>
          <w:rFonts w:ascii="Arial" w:hAnsi="Arial" w:cs="Arial"/>
          <w:sz w:val="24"/>
          <w:szCs w:val="24"/>
        </w:rPr>
        <w:t xml:space="preserve">el </w:t>
      </w:r>
      <w:r w:rsidR="005C36F0" w:rsidRPr="007D10E3">
        <w:rPr>
          <w:rFonts w:ascii="Arial" w:hAnsi="Arial" w:cs="Arial"/>
          <w:sz w:val="24"/>
          <w:szCs w:val="24"/>
        </w:rPr>
        <w:t>factor relación enzima/sustrato (E/S</w:t>
      </w:r>
      <w:r w:rsidRPr="007D10E3">
        <w:rPr>
          <w:rFonts w:ascii="Arial" w:hAnsi="Arial" w:cs="Arial"/>
          <w:sz w:val="24"/>
          <w:szCs w:val="24"/>
        </w:rPr>
        <w:t>)</w:t>
      </w:r>
      <w:r w:rsidR="00B31746">
        <w:rPr>
          <w:rFonts w:ascii="Arial" w:hAnsi="Arial" w:cs="Arial"/>
          <w:sz w:val="24"/>
          <w:szCs w:val="24"/>
        </w:rPr>
        <w:t xml:space="preserve"> 0.05, 0.10 y 0.15 </w:t>
      </w:r>
      <w:r w:rsidR="00DF7045">
        <w:rPr>
          <w:rFonts w:ascii="Arial" w:hAnsi="Arial" w:cs="Arial"/>
          <w:sz w:val="24"/>
          <w:szCs w:val="24"/>
        </w:rPr>
        <w:t>% (</w:t>
      </w:r>
      <w:r w:rsidR="00B31746">
        <w:rPr>
          <w:rFonts w:ascii="Arial" w:hAnsi="Arial" w:cs="Arial"/>
          <w:sz w:val="24"/>
          <w:szCs w:val="24"/>
        </w:rPr>
        <w:t>p/v)</w:t>
      </w:r>
      <w:r w:rsidR="005C36F0" w:rsidRPr="007D10E3">
        <w:rPr>
          <w:rFonts w:ascii="Arial" w:hAnsi="Arial" w:cs="Arial"/>
          <w:sz w:val="24"/>
          <w:szCs w:val="24"/>
        </w:rPr>
        <w:t xml:space="preserve"> siendo la variable de repuesta la concentración </w:t>
      </w:r>
      <w:r w:rsidR="00DC5A13" w:rsidRPr="007D10E3">
        <w:rPr>
          <w:rFonts w:ascii="Arial" w:hAnsi="Arial" w:cs="Arial"/>
          <w:sz w:val="24"/>
          <w:szCs w:val="24"/>
        </w:rPr>
        <w:t>de KAF</w:t>
      </w:r>
      <w:r w:rsidR="005C36F0" w:rsidRPr="007D10E3">
        <w:rPr>
          <w:rFonts w:ascii="Arial" w:hAnsi="Arial" w:cs="Arial"/>
          <w:sz w:val="24"/>
          <w:szCs w:val="24"/>
        </w:rPr>
        <w:t xml:space="preserve"> (mg/mL) </w:t>
      </w:r>
      <w:r w:rsidR="00DC5A13" w:rsidRPr="007D10E3">
        <w:rPr>
          <w:rFonts w:ascii="Arial" w:hAnsi="Arial" w:cs="Arial"/>
          <w:sz w:val="24"/>
          <w:szCs w:val="24"/>
        </w:rPr>
        <w:t>extraída con etanol (70% v/v) después del</w:t>
      </w:r>
      <w:r w:rsidR="00E45BCC">
        <w:rPr>
          <w:rFonts w:ascii="Arial" w:hAnsi="Arial" w:cs="Arial"/>
          <w:sz w:val="24"/>
          <w:szCs w:val="24"/>
        </w:rPr>
        <w:t xml:space="preserve"> tratamiento con α-amilasa, </w:t>
      </w:r>
      <w:r w:rsidR="005C36F0" w:rsidRPr="007D10E3">
        <w:rPr>
          <w:rFonts w:ascii="Arial" w:hAnsi="Arial" w:cs="Arial"/>
          <w:sz w:val="24"/>
          <w:szCs w:val="24"/>
        </w:rPr>
        <w:t>determinada por</w:t>
      </w:r>
      <w:r w:rsidR="00DC5A13" w:rsidRPr="007D10E3">
        <w:rPr>
          <w:rFonts w:ascii="Arial" w:hAnsi="Arial" w:cs="Arial"/>
          <w:sz w:val="24"/>
          <w:szCs w:val="24"/>
        </w:rPr>
        <w:t xml:space="preserve"> el método de Bradford. La identificación de KAF se realizó por electroforesis SDS-PAGE.</w:t>
      </w:r>
      <w:r w:rsidR="00D30A89">
        <w:rPr>
          <w:rFonts w:ascii="Arial" w:hAnsi="Arial" w:cs="Arial"/>
          <w:sz w:val="24"/>
          <w:szCs w:val="24"/>
        </w:rPr>
        <w:t xml:space="preserve"> </w:t>
      </w:r>
      <w:r w:rsidR="00DC5A13" w:rsidRPr="007D10E3">
        <w:rPr>
          <w:rFonts w:ascii="Arial" w:hAnsi="Arial" w:cs="Arial"/>
          <w:sz w:val="24"/>
          <w:szCs w:val="24"/>
        </w:rPr>
        <w:t>De acuerdo a la MSR, las condiciones</w:t>
      </w:r>
      <w:r w:rsidRPr="007D10E3">
        <w:rPr>
          <w:rFonts w:ascii="Arial" w:hAnsi="Arial" w:cs="Arial"/>
          <w:sz w:val="24"/>
          <w:szCs w:val="24"/>
        </w:rPr>
        <w:t xml:space="preserve"> óptimas</w:t>
      </w:r>
      <w:r w:rsidR="00DC5A13" w:rsidRPr="007D10E3">
        <w:rPr>
          <w:rFonts w:ascii="Arial" w:hAnsi="Arial" w:cs="Arial"/>
          <w:sz w:val="24"/>
          <w:szCs w:val="24"/>
        </w:rPr>
        <w:t xml:space="preserve"> t (X</w:t>
      </w:r>
      <w:r w:rsidR="00DC5A13" w:rsidRPr="007D10E3">
        <w:rPr>
          <w:rFonts w:ascii="Arial" w:hAnsi="Arial" w:cs="Arial"/>
          <w:sz w:val="24"/>
          <w:szCs w:val="24"/>
          <w:vertAlign w:val="subscript"/>
        </w:rPr>
        <w:t>1</w:t>
      </w:r>
      <w:r w:rsidR="00B31746">
        <w:rPr>
          <w:rFonts w:ascii="Arial" w:hAnsi="Arial" w:cs="Arial"/>
          <w:sz w:val="24"/>
          <w:szCs w:val="24"/>
        </w:rPr>
        <w:t>) = 75 min</w:t>
      </w:r>
      <w:r w:rsidR="00DC5A13" w:rsidRPr="007D10E3">
        <w:rPr>
          <w:rFonts w:ascii="Arial" w:hAnsi="Arial" w:cs="Arial"/>
          <w:sz w:val="24"/>
          <w:szCs w:val="24"/>
        </w:rPr>
        <w:t xml:space="preserve"> y E/S (X</w:t>
      </w:r>
      <w:r w:rsidR="00DC5A13" w:rsidRPr="007D10E3">
        <w:rPr>
          <w:rFonts w:ascii="Arial" w:hAnsi="Arial" w:cs="Arial"/>
          <w:sz w:val="24"/>
          <w:szCs w:val="24"/>
          <w:vertAlign w:val="subscript"/>
        </w:rPr>
        <w:t>2</w:t>
      </w:r>
      <w:r w:rsidR="00DF7045">
        <w:rPr>
          <w:rFonts w:ascii="Arial" w:hAnsi="Arial" w:cs="Arial"/>
          <w:sz w:val="24"/>
          <w:szCs w:val="24"/>
        </w:rPr>
        <w:t>) = 0.125 % (</w:t>
      </w:r>
      <w:r w:rsidR="00B31746">
        <w:rPr>
          <w:rFonts w:ascii="Arial" w:hAnsi="Arial" w:cs="Arial"/>
          <w:sz w:val="24"/>
          <w:szCs w:val="24"/>
        </w:rPr>
        <w:t>p/v)</w:t>
      </w:r>
      <w:r w:rsidR="00DC5A13" w:rsidRPr="007D10E3">
        <w:rPr>
          <w:rFonts w:ascii="Arial" w:hAnsi="Arial" w:cs="Arial"/>
          <w:sz w:val="24"/>
          <w:szCs w:val="24"/>
        </w:rPr>
        <w:t>, son l</w:t>
      </w:r>
      <w:r w:rsidRPr="007D10E3">
        <w:rPr>
          <w:rFonts w:ascii="Arial" w:hAnsi="Arial" w:cs="Arial"/>
          <w:sz w:val="24"/>
          <w:szCs w:val="24"/>
        </w:rPr>
        <w:t>as que proporcionan la mayor concentración de proteína</w:t>
      </w:r>
      <w:r w:rsidR="00DC5A13" w:rsidRPr="007D10E3">
        <w:rPr>
          <w:rFonts w:ascii="Arial" w:hAnsi="Arial" w:cs="Arial"/>
          <w:sz w:val="24"/>
          <w:szCs w:val="24"/>
        </w:rPr>
        <w:t xml:space="preserve"> con u</w:t>
      </w:r>
      <w:r w:rsidR="00B31746">
        <w:rPr>
          <w:rFonts w:ascii="Arial" w:hAnsi="Arial" w:cs="Arial"/>
          <w:sz w:val="24"/>
          <w:szCs w:val="24"/>
        </w:rPr>
        <w:t>n valor de predicción de 0.7894 mg de proteína/g de extracto</w:t>
      </w:r>
      <w:r w:rsidR="00DC5A13" w:rsidRPr="007D10E3">
        <w:rPr>
          <w:rFonts w:ascii="Arial" w:hAnsi="Arial" w:cs="Arial"/>
          <w:sz w:val="24"/>
          <w:szCs w:val="24"/>
        </w:rPr>
        <w:t>.</w:t>
      </w:r>
      <w:r w:rsidR="0075016B" w:rsidRPr="007D10E3">
        <w:rPr>
          <w:rFonts w:ascii="Arial" w:hAnsi="Arial" w:cs="Arial"/>
          <w:sz w:val="24"/>
          <w:szCs w:val="24"/>
        </w:rPr>
        <w:t xml:space="preserve"> </w:t>
      </w:r>
      <w:r w:rsidR="00DC5A13" w:rsidRPr="007D10E3">
        <w:rPr>
          <w:rFonts w:ascii="Arial" w:hAnsi="Arial" w:cs="Arial"/>
          <w:sz w:val="24"/>
          <w:szCs w:val="24"/>
        </w:rPr>
        <w:t>Mediante electroforesis (SDS-PAGE) se logró identificar las 3 fracciones (α, β y γ) que conforman las KAF, corroborando que el método de extracción fue adecuado.</w:t>
      </w:r>
      <w:r w:rsidRPr="007D10E3">
        <w:rPr>
          <w:rFonts w:ascii="Arial" w:hAnsi="Arial" w:cs="Arial"/>
          <w:sz w:val="24"/>
          <w:szCs w:val="24"/>
        </w:rPr>
        <w:t xml:space="preserve"> La hidrólisis de almidón permitió </w:t>
      </w:r>
      <w:r w:rsidR="00326168">
        <w:rPr>
          <w:rFonts w:ascii="Arial" w:hAnsi="Arial" w:cs="Arial"/>
          <w:sz w:val="24"/>
          <w:szCs w:val="24"/>
        </w:rPr>
        <w:t xml:space="preserve">la mejor extracción de las KAF, comparando con la extracción sin el pretratamiento con α-amilasa, </w:t>
      </w:r>
      <w:r w:rsidR="0035167E">
        <w:rPr>
          <w:rFonts w:ascii="Arial" w:hAnsi="Arial" w:cs="Arial"/>
          <w:sz w:val="24"/>
          <w:szCs w:val="24"/>
        </w:rPr>
        <w:t xml:space="preserve">la cual obtuvo </w:t>
      </w:r>
      <w:r w:rsidR="00326168">
        <w:rPr>
          <w:rFonts w:ascii="Arial" w:hAnsi="Arial" w:cs="Arial"/>
          <w:sz w:val="24"/>
          <w:szCs w:val="24"/>
        </w:rPr>
        <w:t>menor cantidad de extra</w:t>
      </w:r>
      <w:r w:rsidR="0035167E">
        <w:rPr>
          <w:rFonts w:ascii="Arial" w:hAnsi="Arial" w:cs="Arial"/>
          <w:sz w:val="24"/>
          <w:szCs w:val="24"/>
        </w:rPr>
        <w:t>cto y menor rendimiento protei</w:t>
      </w:r>
      <w:r w:rsidR="00326168">
        <w:rPr>
          <w:rFonts w:ascii="Arial" w:hAnsi="Arial" w:cs="Arial"/>
          <w:sz w:val="24"/>
          <w:szCs w:val="24"/>
        </w:rPr>
        <w:t>co</w:t>
      </w:r>
      <w:r w:rsidR="00E45BCC">
        <w:rPr>
          <w:rFonts w:ascii="Arial" w:hAnsi="Arial" w:cs="Arial"/>
          <w:sz w:val="24"/>
          <w:szCs w:val="24"/>
        </w:rPr>
        <w:t>.</w:t>
      </w:r>
    </w:p>
    <w:p w:rsidR="00E45BCC" w:rsidRDefault="00E45BCC" w:rsidP="00C2689A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E45BCC" w:rsidSect="00DC5A1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ECB"/>
    <w:multiLevelType w:val="multilevel"/>
    <w:tmpl w:val="5FFE1872"/>
    <w:lvl w:ilvl="0">
      <w:start w:val="1"/>
      <w:numFmt w:val="decimal"/>
      <w:lvlText w:val="%1."/>
      <w:lvlJc w:val="left"/>
      <w:pPr>
        <w:ind w:left="1075" w:hanging="360"/>
      </w:pPr>
    </w:lvl>
    <w:lvl w:ilvl="1">
      <w:start w:val="11"/>
      <w:numFmt w:val="decimal"/>
      <w:isLgl/>
      <w:lvlText w:val="%1.%2"/>
      <w:lvlJc w:val="left"/>
      <w:pPr>
        <w:ind w:left="1525" w:hanging="8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25" w:hanging="81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25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5" w:hanging="1800"/>
      </w:pPr>
      <w:rPr>
        <w:rFonts w:hint="default"/>
      </w:rPr>
    </w:lvl>
  </w:abstractNum>
  <w:abstractNum w:abstractNumId="1">
    <w:nsid w:val="68974533"/>
    <w:multiLevelType w:val="hybridMultilevel"/>
    <w:tmpl w:val="C62072DC"/>
    <w:lvl w:ilvl="0" w:tplc="A9443D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B5"/>
    <w:rsid w:val="00001BAE"/>
    <w:rsid w:val="00014FB9"/>
    <w:rsid w:val="000420F9"/>
    <w:rsid w:val="0004332B"/>
    <w:rsid w:val="000508E3"/>
    <w:rsid w:val="00063813"/>
    <w:rsid w:val="00094F72"/>
    <w:rsid w:val="000C1CDA"/>
    <w:rsid w:val="000D7516"/>
    <w:rsid w:val="000E68C5"/>
    <w:rsid w:val="000F0058"/>
    <w:rsid w:val="00122E7D"/>
    <w:rsid w:val="001B4E00"/>
    <w:rsid w:val="001B6973"/>
    <w:rsid w:val="001B7F99"/>
    <w:rsid w:val="001C049D"/>
    <w:rsid w:val="001C3A71"/>
    <w:rsid w:val="001F669E"/>
    <w:rsid w:val="00201289"/>
    <w:rsid w:val="00205A9D"/>
    <w:rsid w:val="00214F8C"/>
    <w:rsid w:val="00230F33"/>
    <w:rsid w:val="0023205D"/>
    <w:rsid w:val="002349D2"/>
    <w:rsid w:val="002501BB"/>
    <w:rsid w:val="00262B68"/>
    <w:rsid w:val="00272B8E"/>
    <w:rsid w:val="002A2B2A"/>
    <w:rsid w:val="002A65B9"/>
    <w:rsid w:val="002C6BD7"/>
    <w:rsid w:val="002C790D"/>
    <w:rsid w:val="002E0147"/>
    <w:rsid w:val="00326168"/>
    <w:rsid w:val="0035167E"/>
    <w:rsid w:val="00367BBF"/>
    <w:rsid w:val="00370122"/>
    <w:rsid w:val="003839DA"/>
    <w:rsid w:val="003912CD"/>
    <w:rsid w:val="00394E81"/>
    <w:rsid w:val="003D4DE3"/>
    <w:rsid w:val="0042287B"/>
    <w:rsid w:val="00431225"/>
    <w:rsid w:val="004460BB"/>
    <w:rsid w:val="0046161F"/>
    <w:rsid w:val="004C5F21"/>
    <w:rsid w:val="004D1852"/>
    <w:rsid w:val="0051733D"/>
    <w:rsid w:val="0052570F"/>
    <w:rsid w:val="00541133"/>
    <w:rsid w:val="00577388"/>
    <w:rsid w:val="005A30DA"/>
    <w:rsid w:val="005C36F0"/>
    <w:rsid w:val="005D355A"/>
    <w:rsid w:val="005D74CC"/>
    <w:rsid w:val="00640252"/>
    <w:rsid w:val="00645A0D"/>
    <w:rsid w:val="00656EDA"/>
    <w:rsid w:val="006638AC"/>
    <w:rsid w:val="00691D78"/>
    <w:rsid w:val="006B468F"/>
    <w:rsid w:val="006D0F36"/>
    <w:rsid w:val="006E3306"/>
    <w:rsid w:val="006F3888"/>
    <w:rsid w:val="00714E80"/>
    <w:rsid w:val="0072074E"/>
    <w:rsid w:val="007251C7"/>
    <w:rsid w:val="0075016B"/>
    <w:rsid w:val="0075121A"/>
    <w:rsid w:val="00751E51"/>
    <w:rsid w:val="00762995"/>
    <w:rsid w:val="007640D0"/>
    <w:rsid w:val="00764120"/>
    <w:rsid w:val="00771FA8"/>
    <w:rsid w:val="00775777"/>
    <w:rsid w:val="00783CAD"/>
    <w:rsid w:val="007A4E4B"/>
    <w:rsid w:val="007D10E3"/>
    <w:rsid w:val="007D20CD"/>
    <w:rsid w:val="00800526"/>
    <w:rsid w:val="0081455C"/>
    <w:rsid w:val="00852E94"/>
    <w:rsid w:val="00854FB5"/>
    <w:rsid w:val="00855962"/>
    <w:rsid w:val="00890E8E"/>
    <w:rsid w:val="0089102A"/>
    <w:rsid w:val="008A7E6F"/>
    <w:rsid w:val="008B0061"/>
    <w:rsid w:val="008C600C"/>
    <w:rsid w:val="008C65FA"/>
    <w:rsid w:val="008E4A67"/>
    <w:rsid w:val="008E7407"/>
    <w:rsid w:val="00926F8A"/>
    <w:rsid w:val="0093134A"/>
    <w:rsid w:val="00966F7F"/>
    <w:rsid w:val="009C4BEE"/>
    <w:rsid w:val="009D2311"/>
    <w:rsid w:val="00A4669F"/>
    <w:rsid w:val="00A56837"/>
    <w:rsid w:val="00AC6007"/>
    <w:rsid w:val="00AE57AD"/>
    <w:rsid w:val="00AF43F3"/>
    <w:rsid w:val="00B31746"/>
    <w:rsid w:val="00BE1E28"/>
    <w:rsid w:val="00C0430B"/>
    <w:rsid w:val="00C2689A"/>
    <w:rsid w:val="00C33B4B"/>
    <w:rsid w:val="00C80E28"/>
    <w:rsid w:val="00C93EE3"/>
    <w:rsid w:val="00CA41F3"/>
    <w:rsid w:val="00CD59CC"/>
    <w:rsid w:val="00D05314"/>
    <w:rsid w:val="00D24DA6"/>
    <w:rsid w:val="00D30A89"/>
    <w:rsid w:val="00D45052"/>
    <w:rsid w:val="00D9500E"/>
    <w:rsid w:val="00DC3BCE"/>
    <w:rsid w:val="00DC5A13"/>
    <w:rsid w:val="00DF7045"/>
    <w:rsid w:val="00E45BCC"/>
    <w:rsid w:val="00E5702E"/>
    <w:rsid w:val="00E86672"/>
    <w:rsid w:val="00EB5EBC"/>
    <w:rsid w:val="00EE6DE5"/>
    <w:rsid w:val="00EF499E"/>
    <w:rsid w:val="00F32303"/>
    <w:rsid w:val="00F532C3"/>
    <w:rsid w:val="00F73495"/>
    <w:rsid w:val="00F776D3"/>
    <w:rsid w:val="00F77960"/>
    <w:rsid w:val="00F8697E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0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052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C0430B"/>
    <w:rPr>
      <w:i/>
      <w:iCs/>
      <w:color w:val="404040" w:themeColor="text1" w:themeTint="BF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7960"/>
    <w:rPr>
      <w:rFonts w:ascii="Courier New" w:eastAsia="Times New Roman" w:hAnsi="Courier New" w:cs="Courier Ne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0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052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C0430B"/>
    <w:rPr>
      <w:i/>
      <w:iCs/>
      <w:color w:val="404040" w:themeColor="text1" w:themeTint="BF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7960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tovarpe@conacyt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Tania Castro</cp:lastModifiedBy>
  <cp:revision>3</cp:revision>
  <dcterms:created xsi:type="dcterms:W3CDTF">2017-08-23T17:41:00Z</dcterms:created>
  <dcterms:modified xsi:type="dcterms:W3CDTF">2017-08-24T02:30:00Z</dcterms:modified>
</cp:coreProperties>
</file>