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54D6E" w14:textId="0D6FF3EC" w:rsidR="00946DCD" w:rsidRDefault="00806DAA" w:rsidP="00F1050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Alteraciones fago</w:t>
      </w:r>
      <w:r w:rsidR="00DC3696">
        <w:rPr>
          <w:rFonts w:ascii="Arial" w:hAnsi="Arial" w:cs="Arial"/>
          <w:b/>
          <w:bCs/>
          <w:sz w:val="24"/>
          <w:szCs w:val="24"/>
        </w:rPr>
        <w:t>cíticas en leucocitos totales de</w:t>
      </w:r>
      <w:r>
        <w:rPr>
          <w:rFonts w:ascii="Arial" w:hAnsi="Arial" w:cs="Arial"/>
          <w:b/>
          <w:bCs/>
          <w:sz w:val="24"/>
          <w:szCs w:val="24"/>
        </w:rPr>
        <w:t xml:space="preserve"> tilapia nilótica (</w:t>
      </w:r>
      <w:r w:rsidRPr="00806DAA">
        <w:rPr>
          <w:rFonts w:ascii="Arial" w:hAnsi="Arial" w:cs="Arial"/>
          <w:b/>
          <w:bCs/>
          <w:i/>
          <w:sz w:val="24"/>
          <w:szCs w:val="24"/>
        </w:rPr>
        <w:t>Oreochromis niloticus</w:t>
      </w:r>
      <w:r>
        <w:rPr>
          <w:rFonts w:ascii="Arial" w:hAnsi="Arial" w:cs="Arial"/>
          <w:b/>
          <w:bCs/>
          <w:sz w:val="24"/>
          <w:szCs w:val="24"/>
        </w:rPr>
        <w:t xml:space="preserve">) expuesta </w:t>
      </w:r>
      <w:r w:rsidRPr="00806DAA">
        <w:rPr>
          <w:rFonts w:ascii="Arial" w:hAnsi="Arial" w:cs="Arial"/>
          <w:b/>
          <w:bCs/>
          <w:i/>
          <w:sz w:val="24"/>
          <w:szCs w:val="24"/>
        </w:rPr>
        <w:t xml:space="preserve">in vivo </w:t>
      </w:r>
      <w:r>
        <w:rPr>
          <w:rFonts w:ascii="Arial" w:hAnsi="Arial" w:cs="Arial"/>
          <w:b/>
          <w:bCs/>
          <w:sz w:val="24"/>
          <w:szCs w:val="24"/>
        </w:rPr>
        <w:t>al plaguic</w:t>
      </w:r>
      <w:r w:rsidR="00DC3696">
        <w:rPr>
          <w:rFonts w:ascii="Arial" w:hAnsi="Arial" w:cs="Arial"/>
          <w:b/>
          <w:bCs/>
          <w:sz w:val="24"/>
          <w:szCs w:val="24"/>
        </w:rPr>
        <w:t>ida organofosforado diazinó</w:t>
      </w:r>
      <w:r>
        <w:rPr>
          <w:rFonts w:ascii="Arial" w:hAnsi="Arial" w:cs="Arial"/>
          <w:b/>
          <w:bCs/>
          <w:sz w:val="24"/>
          <w:szCs w:val="24"/>
        </w:rPr>
        <w:t>n</w:t>
      </w:r>
    </w:p>
    <w:p w14:paraId="12A84EF4" w14:textId="0F0D9A2E" w:rsidR="00946DCD" w:rsidRPr="00F10505" w:rsidRDefault="00AE2587" w:rsidP="0061631B">
      <w:pPr>
        <w:spacing w:line="240" w:lineRule="auto"/>
        <w:jc w:val="both"/>
        <w:rPr>
          <w:rFonts w:ascii="Arial" w:hAnsi="Arial" w:cs="Arial"/>
          <w:sz w:val="24"/>
          <w:szCs w:val="20"/>
        </w:rPr>
      </w:pPr>
      <w:r w:rsidRPr="00F10505">
        <w:rPr>
          <w:rFonts w:ascii="Arial" w:hAnsi="Arial" w:cs="Arial"/>
          <w:sz w:val="24"/>
          <w:szCs w:val="20"/>
        </w:rPr>
        <w:t>Covantes-Rosale</w:t>
      </w:r>
      <w:r w:rsidR="00676C3E" w:rsidRPr="00F10505">
        <w:rPr>
          <w:rFonts w:ascii="Arial" w:hAnsi="Arial" w:cs="Arial"/>
          <w:sz w:val="24"/>
          <w:szCs w:val="20"/>
        </w:rPr>
        <w:t>s</w:t>
      </w:r>
      <w:r w:rsidR="00946DCD" w:rsidRPr="00F10505">
        <w:rPr>
          <w:rFonts w:ascii="Arial" w:hAnsi="Arial" w:cs="Arial"/>
          <w:sz w:val="24"/>
          <w:szCs w:val="20"/>
        </w:rPr>
        <w:t xml:space="preserve"> C</w:t>
      </w:r>
      <w:r w:rsidR="004D16F0" w:rsidRPr="00F10505">
        <w:rPr>
          <w:rFonts w:ascii="Arial" w:hAnsi="Arial" w:cs="Arial"/>
          <w:sz w:val="24"/>
          <w:szCs w:val="20"/>
        </w:rPr>
        <w:t>E</w:t>
      </w:r>
      <w:r w:rsidR="00B93CD5" w:rsidRPr="00F10505">
        <w:rPr>
          <w:rFonts w:ascii="Arial" w:hAnsi="Arial" w:cs="Arial"/>
          <w:sz w:val="24"/>
          <w:szCs w:val="20"/>
        </w:rPr>
        <w:t xml:space="preserve">; </w:t>
      </w:r>
      <w:r w:rsidR="00495621" w:rsidRPr="00F10505">
        <w:rPr>
          <w:rFonts w:ascii="Arial" w:hAnsi="Arial" w:cs="Arial"/>
          <w:sz w:val="24"/>
          <w:szCs w:val="20"/>
        </w:rPr>
        <w:t>Trujillo-Lepe AM</w:t>
      </w:r>
      <w:r w:rsidR="00B93CD5" w:rsidRPr="00F10505">
        <w:rPr>
          <w:rFonts w:ascii="Arial" w:hAnsi="Arial" w:cs="Arial"/>
          <w:sz w:val="24"/>
          <w:szCs w:val="20"/>
        </w:rPr>
        <w:t>;</w:t>
      </w:r>
      <w:r w:rsidR="00495621" w:rsidRPr="00F10505">
        <w:rPr>
          <w:rFonts w:ascii="Arial" w:hAnsi="Arial" w:cs="Arial"/>
          <w:sz w:val="24"/>
          <w:szCs w:val="20"/>
        </w:rPr>
        <w:t xml:space="preserve"> </w:t>
      </w:r>
      <w:r w:rsidR="00070E20" w:rsidRPr="00F10505">
        <w:rPr>
          <w:rFonts w:ascii="Arial" w:hAnsi="Arial" w:cs="Arial"/>
          <w:sz w:val="24"/>
          <w:szCs w:val="20"/>
        </w:rPr>
        <w:t>Díaz-</w:t>
      </w:r>
      <w:r w:rsidR="00DC3696" w:rsidRPr="00F10505">
        <w:rPr>
          <w:rFonts w:ascii="Arial" w:hAnsi="Arial" w:cs="Arial"/>
          <w:sz w:val="24"/>
          <w:szCs w:val="20"/>
        </w:rPr>
        <w:t>Reséndiz</w:t>
      </w:r>
      <w:r w:rsidR="00070E20" w:rsidRPr="00F10505">
        <w:rPr>
          <w:rFonts w:ascii="Arial" w:hAnsi="Arial" w:cs="Arial"/>
          <w:sz w:val="24"/>
          <w:szCs w:val="20"/>
        </w:rPr>
        <w:t xml:space="preserve"> KJG</w:t>
      </w:r>
      <w:r w:rsidR="00B93CD5" w:rsidRPr="00F10505">
        <w:rPr>
          <w:rFonts w:ascii="Arial" w:hAnsi="Arial" w:cs="Arial"/>
          <w:sz w:val="24"/>
          <w:szCs w:val="20"/>
        </w:rPr>
        <w:t>;</w:t>
      </w:r>
      <w:r w:rsidR="00070E20" w:rsidRPr="00F10505">
        <w:rPr>
          <w:rFonts w:ascii="Arial" w:hAnsi="Arial" w:cs="Arial"/>
          <w:sz w:val="24"/>
          <w:szCs w:val="20"/>
        </w:rPr>
        <w:t xml:space="preserve"> </w:t>
      </w:r>
      <w:r w:rsidR="00495621" w:rsidRPr="00F10505">
        <w:rPr>
          <w:rFonts w:ascii="Arial" w:hAnsi="Arial" w:cs="Arial"/>
          <w:sz w:val="24"/>
          <w:szCs w:val="20"/>
        </w:rPr>
        <w:t xml:space="preserve">Ventura-Ramón </w:t>
      </w:r>
      <w:r w:rsidR="004D16F0" w:rsidRPr="00F10505">
        <w:rPr>
          <w:rFonts w:ascii="Arial" w:hAnsi="Arial" w:cs="Arial"/>
          <w:sz w:val="24"/>
          <w:szCs w:val="20"/>
        </w:rPr>
        <w:t>G</w:t>
      </w:r>
      <w:r w:rsidR="00495621" w:rsidRPr="00F10505">
        <w:rPr>
          <w:rFonts w:ascii="Arial" w:hAnsi="Arial" w:cs="Arial"/>
          <w:sz w:val="24"/>
          <w:szCs w:val="20"/>
        </w:rPr>
        <w:t>H</w:t>
      </w:r>
      <w:r w:rsidR="00B93CD5" w:rsidRPr="00F10505">
        <w:rPr>
          <w:rFonts w:ascii="Arial" w:hAnsi="Arial" w:cs="Arial"/>
          <w:sz w:val="24"/>
          <w:szCs w:val="20"/>
        </w:rPr>
        <w:t>;</w:t>
      </w:r>
      <w:r w:rsidR="006515D7" w:rsidRPr="00F10505">
        <w:rPr>
          <w:rFonts w:ascii="Arial" w:hAnsi="Arial" w:cs="Arial"/>
          <w:sz w:val="24"/>
          <w:szCs w:val="20"/>
        </w:rPr>
        <w:t xml:space="preserve"> Toledo-Ibarra G</w:t>
      </w:r>
      <w:r w:rsidR="00B93CD5" w:rsidRPr="00F10505">
        <w:rPr>
          <w:rFonts w:ascii="Arial" w:hAnsi="Arial" w:cs="Arial"/>
          <w:sz w:val="24"/>
          <w:szCs w:val="20"/>
        </w:rPr>
        <w:t>A;</w:t>
      </w:r>
      <w:r w:rsidR="00946DCD" w:rsidRPr="00F10505">
        <w:rPr>
          <w:rFonts w:ascii="Arial" w:hAnsi="Arial" w:cs="Arial"/>
          <w:sz w:val="24"/>
          <w:szCs w:val="20"/>
        </w:rPr>
        <w:t xml:space="preserve"> Girón-Pérez MI</w:t>
      </w:r>
      <w:r w:rsidR="00DC3696" w:rsidRPr="00F10505">
        <w:rPr>
          <w:rFonts w:ascii="Arial" w:hAnsi="Arial" w:cs="Arial"/>
          <w:sz w:val="24"/>
          <w:szCs w:val="20"/>
        </w:rPr>
        <w:t>*</w:t>
      </w:r>
    </w:p>
    <w:p w14:paraId="5DE99FE2" w14:textId="27545E3B" w:rsidR="00946DCD" w:rsidRDefault="00946DCD" w:rsidP="004D16F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018E">
        <w:rPr>
          <w:rFonts w:ascii="Arial" w:hAnsi="Arial" w:cs="Arial"/>
          <w:sz w:val="20"/>
          <w:szCs w:val="20"/>
        </w:rPr>
        <w:t>Universidad Autónoma de Nayarit, Laboratorio de Inmunotoxicología. Cd de la Cultura Amado s/n. Tepic, Nayarit México. C.P. 63190. Tel: +52</w:t>
      </w:r>
      <w:r w:rsidR="00070E20">
        <w:rPr>
          <w:rFonts w:ascii="Arial" w:hAnsi="Arial" w:cs="Arial"/>
          <w:sz w:val="20"/>
          <w:szCs w:val="20"/>
        </w:rPr>
        <w:t xml:space="preserve"> </w:t>
      </w:r>
      <w:r w:rsidRPr="003F018E">
        <w:rPr>
          <w:rFonts w:ascii="Arial" w:hAnsi="Arial" w:cs="Arial"/>
          <w:sz w:val="20"/>
          <w:szCs w:val="20"/>
        </w:rPr>
        <w:t>(311)</w:t>
      </w:r>
      <w:r w:rsidR="00805E6A">
        <w:rPr>
          <w:rFonts w:ascii="Arial" w:hAnsi="Arial" w:cs="Arial"/>
          <w:sz w:val="20"/>
          <w:szCs w:val="20"/>
        </w:rPr>
        <w:t>-</w:t>
      </w:r>
      <w:r w:rsidRPr="003F018E">
        <w:rPr>
          <w:rFonts w:ascii="Arial" w:hAnsi="Arial" w:cs="Arial"/>
          <w:sz w:val="20"/>
          <w:szCs w:val="20"/>
        </w:rPr>
        <w:t xml:space="preserve">2118800 </w:t>
      </w:r>
      <w:r w:rsidR="00DC3696" w:rsidRPr="003F018E">
        <w:rPr>
          <w:rFonts w:ascii="Arial" w:hAnsi="Arial" w:cs="Arial"/>
          <w:sz w:val="20"/>
          <w:szCs w:val="20"/>
        </w:rPr>
        <w:t>ext.</w:t>
      </w:r>
      <w:r w:rsidRPr="003F018E">
        <w:rPr>
          <w:rFonts w:ascii="Arial" w:hAnsi="Arial" w:cs="Arial"/>
          <w:sz w:val="20"/>
          <w:szCs w:val="20"/>
        </w:rPr>
        <w:t xml:space="preserve"> 8922. E-mail: </w:t>
      </w:r>
      <w:hyperlink r:id="rId7" w:history="1">
        <w:r w:rsidR="00495621" w:rsidRPr="00813A52">
          <w:rPr>
            <w:rStyle w:val="Hipervnculo"/>
            <w:rFonts w:ascii="Arial" w:hAnsi="Arial" w:cs="Arial"/>
            <w:sz w:val="20"/>
            <w:szCs w:val="20"/>
          </w:rPr>
          <w:t>ivan_giron@hotmail.com</w:t>
        </w:r>
      </w:hyperlink>
      <w:r w:rsidRPr="003F018E">
        <w:rPr>
          <w:rFonts w:ascii="Arial" w:hAnsi="Arial" w:cs="Arial"/>
          <w:sz w:val="20"/>
          <w:szCs w:val="20"/>
        </w:rPr>
        <w:t>.</w:t>
      </w:r>
    </w:p>
    <w:p w14:paraId="00F3CA94" w14:textId="25E80BB3" w:rsidR="00946DCD" w:rsidRPr="00B93CD5" w:rsidRDefault="00BE20A3" w:rsidP="00F105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20A3">
        <w:rPr>
          <w:rFonts w:ascii="Arial" w:hAnsi="Arial" w:cs="Arial"/>
          <w:sz w:val="24"/>
          <w:szCs w:val="24"/>
        </w:rPr>
        <w:t>La tilapia nilótica (</w:t>
      </w:r>
      <w:r w:rsidRPr="00BE20A3">
        <w:rPr>
          <w:rFonts w:ascii="Arial" w:hAnsi="Arial" w:cs="Arial"/>
          <w:i/>
          <w:sz w:val="24"/>
          <w:szCs w:val="24"/>
        </w:rPr>
        <w:t>Oreochromis niloticus</w:t>
      </w:r>
      <w:r w:rsidR="00676C3E">
        <w:rPr>
          <w:rFonts w:ascii="Arial" w:hAnsi="Arial" w:cs="Arial"/>
          <w:sz w:val="24"/>
          <w:szCs w:val="24"/>
        </w:rPr>
        <w:t>) es pez tele</w:t>
      </w:r>
      <w:r w:rsidR="00DC3696">
        <w:rPr>
          <w:rFonts w:ascii="Arial" w:hAnsi="Arial" w:cs="Arial"/>
          <w:sz w:val="24"/>
          <w:szCs w:val="24"/>
        </w:rPr>
        <w:t>ó</w:t>
      </w:r>
      <w:r w:rsidR="00676C3E">
        <w:rPr>
          <w:rFonts w:ascii="Arial" w:hAnsi="Arial" w:cs="Arial"/>
          <w:sz w:val="24"/>
          <w:szCs w:val="24"/>
        </w:rPr>
        <w:t>steo</w:t>
      </w:r>
      <w:r w:rsidRPr="00BE20A3">
        <w:rPr>
          <w:rFonts w:ascii="Arial" w:hAnsi="Arial" w:cs="Arial"/>
          <w:sz w:val="24"/>
          <w:szCs w:val="24"/>
        </w:rPr>
        <w:t xml:space="preserve"> </w:t>
      </w:r>
      <w:r w:rsidR="005C210F">
        <w:rPr>
          <w:rFonts w:ascii="Arial" w:hAnsi="Arial" w:cs="Arial"/>
          <w:sz w:val="24"/>
          <w:szCs w:val="24"/>
        </w:rPr>
        <w:t>de</w:t>
      </w:r>
      <w:r w:rsidR="004A148E">
        <w:rPr>
          <w:rFonts w:ascii="Arial" w:hAnsi="Arial" w:cs="Arial"/>
          <w:sz w:val="24"/>
          <w:szCs w:val="24"/>
        </w:rPr>
        <w:t xml:space="preserve"> rápido crecimiento, </w:t>
      </w:r>
      <w:r w:rsidR="003C5B5F">
        <w:rPr>
          <w:rFonts w:ascii="Arial" w:hAnsi="Arial" w:cs="Arial"/>
          <w:sz w:val="24"/>
          <w:szCs w:val="24"/>
        </w:rPr>
        <w:t>bajos costos de alimentación</w:t>
      </w:r>
      <w:r w:rsidR="004A148E">
        <w:rPr>
          <w:rFonts w:ascii="Arial" w:hAnsi="Arial" w:cs="Arial"/>
          <w:sz w:val="24"/>
          <w:szCs w:val="24"/>
        </w:rPr>
        <w:t xml:space="preserve"> y resistencia a condiciones adversas</w:t>
      </w:r>
      <w:r w:rsidR="005D52F8">
        <w:rPr>
          <w:rFonts w:ascii="Arial" w:hAnsi="Arial" w:cs="Arial"/>
          <w:sz w:val="24"/>
          <w:szCs w:val="24"/>
        </w:rPr>
        <w:t xml:space="preserve"> </w:t>
      </w:r>
      <w:r w:rsidR="00EA00FF">
        <w:rPr>
          <w:rFonts w:ascii="Arial" w:hAnsi="Arial" w:cs="Arial"/>
          <w:sz w:val="24"/>
          <w:szCs w:val="24"/>
        </w:rPr>
        <w:t>ambient</w:t>
      </w:r>
      <w:r w:rsidR="00DC3696">
        <w:rPr>
          <w:rFonts w:ascii="Arial" w:hAnsi="Arial" w:cs="Arial"/>
          <w:sz w:val="24"/>
          <w:szCs w:val="24"/>
        </w:rPr>
        <w:t>ales</w:t>
      </w:r>
      <w:r w:rsidR="00EA00FF">
        <w:rPr>
          <w:rFonts w:ascii="Arial" w:hAnsi="Arial" w:cs="Arial"/>
          <w:sz w:val="24"/>
          <w:szCs w:val="24"/>
        </w:rPr>
        <w:t xml:space="preserve">, </w:t>
      </w:r>
      <w:r w:rsidR="00676C3E">
        <w:rPr>
          <w:rFonts w:ascii="Arial" w:hAnsi="Arial" w:cs="Arial"/>
          <w:sz w:val="24"/>
          <w:szCs w:val="24"/>
        </w:rPr>
        <w:t>características muy deseadas para la pr</w:t>
      </w:r>
      <w:r w:rsidR="00DC3696">
        <w:rPr>
          <w:rFonts w:ascii="Arial" w:hAnsi="Arial" w:cs="Arial"/>
          <w:sz w:val="24"/>
          <w:szCs w:val="24"/>
        </w:rPr>
        <w:t>oducción acuícola en nuestro paí</w:t>
      </w:r>
      <w:r w:rsidR="00676C3E">
        <w:rPr>
          <w:rFonts w:ascii="Arial" w:hAnsi="Arial" w:cs="Arial"/>
          <w:sz w:val="24"/>
          <w:szCs w:val="24"/>
        </w:rPr>
        <w:t>s</w:t>
      </w:r>
      <w:r w:rsidR="005D7367">
        <w:rPr>
          <w:rFonts w:ascii="Arial" w:hAnsi="Arial" w:cs="Arial"/>
          <w:sz w:val="24"/>
          <w:szCs w:val="24"/>
        </w:rPr>
        <w:t xml:space="preserve">. </w:t>
      </w:r>
      <w:r w:rsidR="00676C3E">
        <w:rPr>
          <w:rFonts w:ascii="Arial" w:hAnsi="Arial" w:cs="Arial"/>
          <w:sz w:val="24"/>
          <w:szCs w:val="24"/>
        </w:rPr>
        <w:t>Sin embargo</w:t>
      </w:r>
      <w:r w:rsidR="004A148E">
        <w:rPr>
          <w:rFonts w:ascii="Arial" w:hAnsi="Arial" w:cs="Arial"/>
          <w:sz w:val="24"/>
          <w:szCs w:val="24"/>
        </w:rPr>
        <w:t xml:space="preserve">, durante su cultivo </w:t>
      </w:r>
      <w:r w:rsidR="00E747C1" w:rsidRPr="00E747C1">
        <w:rPr>
          <w:rFonts w:ascii="Arial" w:hAnsi="Arial" w:cs="Arial"/>
          <w:sz w:val="24"/>
          <w:szCs w:val="24"/>
        </w:rPr>
        <w:t>puede estar expues</w:t>
      </w:r>
      <w:r w:rsidR="005D7367">
        <w:rPr>
          <w:rFonts w:ascii="Arial" w:hAnsi="Arial" w:cs="Arial"/>
          <w:sz w:val="24"/>
          <w:szCs w:val="24"/>
        </w:rPr>
        <w:t>ta a</w:t>
      </w:r>
      <w:r w:rsidR="00676C3E">
        <w:rPr>
          <w:rFonts w:ascii="Arial" w:hAnsi="Arial" w:cs="Arial"/>
          <w:sz w:val="24"/>
          <w:szCs w:val="24"/>
        </w:rPr>
        <w:t xml:space="preserve"> </w:t>
      </w:r>
      <w:r w:rsidR="00DC3696">
        <w:rPr>
          <w:rFonts w:ascii="Arial" w:hAnsi="Arial" w:cs="Arial"/>
          <w:sz w:val="24"/>
          <w:szCs w:val="24"/>
        </w:rPr>
        <w:t>contaminantes</w:t>
      </w:r>
      <w:r w:rsidR="00676C3E">
        <w:rPr>
          <w:rFonts w:ascii="Arial" w:hAnsi="Arial" w:cs="Arial"/>
          <w:sz w:val="24"/>
          <w:szCs w:val="24"/>
        </w:rPr>
        <w:t xml:space="preserve"> como los </w:t>
      </w:r>
      <w:r w:rsidR="00E747C1">
        <w:rPr>
          <w:rFonts w:ascii="Arial" w:hAnsi="Arial" w:cs="Arial"/>
          <w:sz w:val="24"/>
          <w:szCs w:val="24"/>
        </w:rPr>
        <w:t>plaguicidas organofosforados</w:t>
      </w:r>
      <w:r w:rsidR="00EA00FF">
        <w:rPr>
          <w:rFonts w:ascii="Arial" w:hAnsi="Arial" w:cs="Arial"/>
          <w:sz w:val="24"/>
          <w:szCs w:val="24"/>
        </w:rPr>
        <w:t>, sustancias que pueden</w:t>
      </w:r>
      <w:r w:rsidR="005D7367">
        <w:rPr>
          <w:rFonts w:ascii="Arial" w:hAnsi="Arial" w:cs="Arial"/>
          <w:sz w:val="24"/>
          <w:szCs w:val="24"/>
        </w:rPr>
        <w:t xml:space="preserve"> </w:t>
      </w:r>
      <w:r w:rsidR="00EA00FF">
        <w:rPr>
          <w:rFonts w:ascii="Arial" w:hAnsi="Arial" w:cs="Arial"/>
          <w:sz w:val="24"/>
          <w:szCs w:val="24"/>
        </w:rPr>
        <w:t>alterar su sistema</w:t>
      </w:r>
      <w:r w:rsidR="005D7367">
        <w:rPr>
          <w:rFonts w:ascii="Arial" w:hAnsi="Arial" w:cs="Arial"/>
          <w:sz w:val="24"/>
          <w:szCs w:val="24"/>
        </w:rPr>
        <w:t xml:space="preserve"> inmune</w:t>
      </w:r>
      <w:r w:rsidR="00EA00FF">
        <w:rPr>
          <w:rFonts w:ascii="Arial" w:hAnsi="Arial" w:cs="Arial"/>
          <w:sz w:val="24"/>
          <w:szCs w:val="24"/>
        </w:rPr>
        <w:t xml:space="preserve"> </w:t>
      </w:r>
      <w:r w:rsidR="00805E6A">
        <w:rPr>
          <w:rFonts w:ascii="Arial" w:hAnsi="Arial" w:cs="Arial"/>
          <w:sz w:val="24"/>
          <w:szCs w:val="24"/>
        </w:rPr>
        <w:t>e incrementar la susceptibilidad</w:t>
      </w:r>
      <w:r w:rsidR="00EA00FF">
        <w:rPr>
          <w:rFonts w:ascii="Arial" w:hAnsi="Arial" w:cs="Arial"/>
          <w:sz w:val="24"/>
          <w:szCs w:val="24"/>
        </w:rPr>
        <w:t xml:space="preserve"> a infecciones</w:t>
      </w:r>
      <w:r w:rsidR="004A148E">
        <w:rPr>
          <w:rFonts w:ascii="Arial" w:hAnsi="Arial" w:cs="Arial"/>
          <w:sz w:val="24"/>
          <w:szCs w:val="24"/>
        </w:rPr>
        <w:t xml:space="preserve">. </w:t>
      </w:r>
      <w:r w:rsidR="00EA00FF">
        <w:rPr>
          <w:rFonts w:ascii="Arial" w:hAnsi="Arial" w:cs="Arial"/>
          <w:sz w:val="24"/>
          <w:szCs w:val="24"/>
        </w:rPr>
        <w:t xml:space="preserve">En este sentido, </w:t>
      </w:r>
      <w:r w:rsidR="00DC3696">
        <w:rPr>
          <w:rFonts w:ascii="Arial" w:hAnsi="Arial" w:cs="Arial"/>
          <w:sz w:val="24"/>
          <w:szCs w:val="24"/>
        </w:rPr>
        <w:t>parámetros</w:t>
      </w:r>
      <w:r w:rsidR="00442882">
        <w:rPr>
          <w:rFonts w:ascii="Arial" w:hAnsi="Arial" w:cs="Arial"/>
          <w:sz w:val="24"/>
          <w:szCs w:val="24"/>
        </w:rPr>
        <w:t xml:space="preserve"> fagocític</w:t>
      </w:r>
      <w:r w:rsidR="00805E6A">
        <w:rPr>
          <w:rFonts w:ascii="Arial" w:hAnsi="Arial" w:cs="Arial"/>
          <w:sz w:val="24"/>
          <w:szCs w:val="24"/>
        </w:rPr>
        <w:t xml:space="preserve">os como la fagocitosis y el estallido respiratorio </w:t>
      </w:r>
      <w:r w:rsidR="00442882">
        <w:rPr>
          <w:rFonts w:ascii="Arial" w:hAnsi="Arial" w:cs="Arial"/>
          <w:sz w:val="24"/>
          <w:szCs w:val="24"/>
        </w:rPr>
        <w:t>ha</w:t>
      </w:r>
      <w:r w:rsidR="00805E6A">
        <w:rPr>
          <w:rFonts w:ascii="Arial" w:hAnsi="Arial" w:cs="Arial"/>
          <w:sz w:val="24"/>
          <w:szCs w:val="24"/>
        </w:rPr>
        <w:t>n</w:t>
      </w:r>
      <w:r w:rsidR="00442882">
        <w:rPr>
          <w:rFonts w:ascii="Arial" w:hAnsi="Arial" w:cs="Arial"/>
          <w:sz w:val="24"/>
          <w:szCs w:val="24"/>
        </w:rPr>
        <w:t xml:space="preserve"> </w:t>
      </w:r>
      <w:r w:rsidR="00805E6A">
        <w:rPr>
          <w:rFonts w:ascii="Arial" w:hAnsi="Arial" w:cs="Arial"/>
          <w:sz w:val="24"/>
          <w:szCs w:val="24"/>
        </w:rPr>
        <w:t>sido utilizados</w:t>
      </w:r>
      <w:r w:rsidR="004A148E" w:rsidRPr="00191BD6">
        <w:rPr>
          <w:rFonts w:ascii="Arial" w:hAnsi="Arial" w:cs="Arial"/>
          <w:sz w:val="24"/>
          <w:szCs w:val="24"/>
        </w:rPr>
        <w:t xml:space="preserve"> </w:t>
      </w:r>
      <w:r w:rsidR="008A7D06">
        <w:rPr>
          <w:rFonts w:ascii="Arial" w:hAnsi="Arial" w:cs="Arial"/>
          <w:sz w:val="24"/>
          <w:szCs w:val="24"/>
        </w:rPr>
        <w:t>como</w:t>
      </w:r>
      <w:r w:rsidR="004A148E" w:rsidRPr="00191BD6">
        <w:rPr>
          <w:rFonts w:ascii="Arial" w:hAnsi="Arial" w:cs="Arial"/>
          <w:sz w:val="24"/>
          <w:szCs w:val="24"/>
        </w:rPr>
        <w:t xml:space="preserve"> </w:t>
      </w:r>
      <w:r w:rsidR="001A5AE3">
        <w:rPr>
          <w:rFonts w:ascii="Arial" w:hAnsi="Arial" w:cs="Arial"/>
          <w:sz w:val="24"/>
          <w:szCs w:val="24"/>
        </w:rPr>
        <w:t>bio</w:t>
      </w:r>
      <w:r w:rsidR="00EA00FF">
        <w:rPr>
          <w:rFonts w:ascii="Arial" w:hAnsi="Arial" w:cs="Arial"/>
          <w:sz w:val="24"/>
          <w:szCs w:val="24"/>
        </w:rPr>
        <w:t>marcador</w:t>
      </w:r>
      <w:r w:rsidR="00805E6A">
        <w:rPr>
          <w:rFonts w:ascii="Arial" w:hAnsi="Arial" w:cs="Arial"/>
          <w:sz w:val="24"/>
          <w:szCs w:val="24"/>
        </w:rPr>
        <w:t>es</w:t>
      </w:r>
      <w:r w:rsidR="001A5AE3">
        <w:rPr>
          <w:rFonts w:ascii="Arial" w:hAnsi="Arial" w:cs="Arial"/>
          <w:sz w:val="24"/>
          <w:szCs w:val="24"/>
        </w:rPr>
        <w:t xml:space="preserve"> </w:t>
      </w:r>
      <w:r w:rsidR="004A148E" w:rsidRPr="00191BD6">
        <w:rPr>
          <w:rFonts w:ascii="Arial" w:hAnsi="Arial" w:cs="Arial"/>
          <w:sz w:val="24"/>
          <w:szCs w:val="24"/>
        </w:rPr>
        <w:t xml:space="preserve">para </w:t>
      </w:r>
      <w:r w:rsidR="00EA00FF">
        <w:rPr>
          <w:rFonts w:ascii="Arial" w:hAnsi="Arial" w:cs="Arial"/>
          <w:sz w:val="24"/>
          <w:szCs w:val="24"/>
        </w:rPr>
        <w:t>evaluar el efecto de</w:t>
      </w:r>
      <w:r w:rsidR="004A148E" w:rsidRPr="00191BD6">
        <w:rPr>
          <w:rFonts w:ascii="Arial" w:hAnsi="Arial" w:cs="Arial"/>
          <w:sz w:val="24"/>
          <w:szCs w:val="24"/>
        </w:rPr>
        <w:t xml:space="preserve"> contaminantes </w:t>
      </w:r>
      <w:r w:rsidR="00EA00FF">
        <w:rPr>
          <w:rFonts w:ascii="Arial" w:hAnsi="Arial" w:cs="Arial"/>
          <w:sz w:val="24"/>
          <w:szCs w:val="24"/>
        </w:rPr>
        <w:t>sobre organismos acuáticos</w:t>
      </w:r>
      <w:r w:rsidR="004A148E" w:rsidRPr="00191BD6">
        <w:rPr>
          <w:rFonts w:ascii="Arial" w:hAnsi="Arial" w:cs="Arial"/>
          <w:sz w:val="24"/>
          <w:szCs w:val="24"/>
        </w:rPr>
        <w:t>.</w:t>
      </w:r>
      <w:r w:rsidR="005C210F">
        <w:rPr>
          <w:rFonts w:ascii="Arial" w:hAnsi="Arial" w:cs="Arial"/>
          <w:sz w:val="24"/>
          <w:szCs w:val="24"/>
        </w:rPr>
        <w:t xml:space="preserve"> </w:t>
      </w:r>
      <w:r w:rsidR="0061631B" w:rsidRPr="0061631B">
        <w:rPr>
          <w:rFonts w:ascii="Arial" w:hAnsi="Arial" w:cs="Arial"/>
          <w:sz w:val="24"/>
          <w:szCs w:val="24"/>
        </w:rPr>
        <w:t>Por lo tanto el objetivo de este estudio fue d</w:t>
      </w:r>
      <w:r w:rsidR="0014630E" w:rsidRPr="0061631B">
        <w:rPr>
          <w:rFonts w:ascii="Arial" w:hAnsi="Arial" w:cs="Arial"/>
          <w:sz w:val="24"/>
          <w:szCs w:val="24"/>
        </w:rPr>
        <w:t>eterminar</w:t>
      </w:r>
      <w:r w:rsidR="0014630E">
        <w:rPr>
          <w:rFonts w:ascii="Arial" w:hAnsi="Arial" w:cs="Arial"/>
          <w:sz w:val="24"/>
          <w:szCs w:val="24"/>
        </w:rPr>
        <w:t xml:space="preserve"> la</w:t>
      </w:r>
      <w:r w:rsidR="00946DCD" w:rsidRPr="00F31E1C">
        <w:rPr>
          <w:rFonts w:ascii="Arial" w:hAnsi="Arial" w:cs="Arial"/>
          <w:sz w:val="24"/>
          <w:szCs w:val="24"/>
        </w:rPr>
        <w:t xml:space="preserve"> </w:t>
      </w:r>
      <w:r w:rsidR="000E7BED">
        <w:rPr>
          <w:rFonts w:ascii="Arial" w:hAnsi="Arial" w:cs="Arial"/>
          <w:sz w:val="24"/>
          <w:szCs w:val="24"/>
        </w:rPr>
        <w:t xml:space="preserve">actividad </w:t>
      </w:r>
      <w:r w:rsidR="00946DCD" w:rsidRPr="00F31E1C">
        <w:rPr>
          <w:rFonts w:ascii="Arial" w:hAnsi="Arial" w:cs="Arial"/>
          <w:sz w:val="24"/>
          <w:szCs w:val="24"/>
        </w:rPr>
        <w:t>fagocítica</w:t>
      </w:r>
      <w:r w:rsidR="00806DAA">
        <w:rPr>
          <w:rFonts w:ascii="Arial" w:hAnsi="Arial" w:cs="Arial"/>
          <w:sz w:val="24"/>
          <w:szCs w:val="24"/>
        </w:rPr>
        <w:t xml:space="preserve"> y el estallido respiratorio</w:t>
      </w:r>
      <w:r w:rsidR="00946DCD" w:rsidRPr="00F31E1C">
        <w:rPr>
          <w:rFonts w:ascii="Arial" w:hAnsi="Arial" w:cs="Arial"/>
          <w:sz w:val="24"/>
          <w:szCs w:val="24"/>
        </w:rPr>
        <w:t xml:space="preserve"> </w:t>
      </w:r>
      <w:r w:rsidR="00EB77E9">
        <w:rPr>
          <w:rFonts w:ascii="Arial" w:hAnsi="Arial" w:cs="Arial"/>
          <w:sz w:val="24"/>
          <w:szCs w:val="24"/>
        </w:rPr>
        <w:t xml:space="preserve">mediante citometría de flujo </w:t>
      </w:r>
      <w:r w:rsidR="00F35D6A">
        <w:rPr>
          <w:rFonts w:ascii="Arial" w:hAnsi="Arial" w:cs="Arial"/>
          <w:sz w:val="24"/>
          <w:szCs w:val="24"/>
        </w:rPr>
        <w:t xml:space="preserve">en leucocitos totales </w:t>
      </w:r>
      <w:r w:rsidR="00946DCD" w:rsidRPr="00F31E1C">
        <w:rPr>
          <w:rFonts w:ascii="Arial" w:hAnsi="Arial" w:cs="Arial"/>
          <w:sz w:val="24"/>
          <w:szCs w:val="24"/>
        </w:rPr>
        <w:t>de tilapia nilótica</w:t>
      </w:r>
      <w:r w:rsidR="00AB748B">
        <w:rPr>
          <w:rFonts w:ascii="Arial" w:hAnsi="Arial" w:cs="Arial"/>
          <w:sz w:val="24"/>
          <w:szCs w:val="24"/>
        </w:rPr>
        <w:t xml:space="preserve"> expuesta</w:t>
      </w:r>
      <w:r w:rsidR="00AB748B" w:rsidRPr="00AB748B">
        <w:rPr>
          <w:rFonts w:ascii="Arial" w:hAnsi="Arial" w:cs="Arial"/>
          <w:i/>
          <w:sz w:val="24"/>
          <w:szCs w:val="24"/>
        </w:rPr>
        <w:t xml:space="preserve"> in</w:t>
      </w:r>
      <w:r w:rsidR="00AB748B">
        <w:rPr>
          <w:rFonts w:ascii="Arial" w:hAnsi="Arial" w:cs="Arial"/>
          <w:i/>
          <w:sz w:val="24"/>
          <w:szCs w:val="24"/>
        </w:rPr>
        <w:t xml:space="preserve"> </w:t>
      </w:r>
      <w:r w:rsidR="00AB748B" w:rsidRPr="00AB748B">
        <w:rPr>
          <w:rFonts w:ascii="Arial" w:hAnsi="Arial" w:cs="Arial"/>
          <w:i/>
          <w:sz w:val="24"/>
          <w:szCs w:val="24"/>
        </w:rPr>
        <w:t>vivo</w:t>
      </w:r>
      <w:r w:rsidR="00AB748B">
        <w:rPr>
          <w:rFonts w:ascii="Arial" w:hAnsi="Arial" w:cs="Arial"/>
          <w:sz w:val="24"/>
          <w:szCs w:val="24"/>
        </w:rPr>
        <w:t xml:space="preserve"> a diazinón</w:t>
      </w:r>
      <w:r w:rsidR="00946DCD">
        <w:rPr>
          <w:rFonts w:ascii="Arial" w:hAnsi="Arial" w:cs="Arial"/>
          <w:sz w:val="24"/>
          <w:szCs w:val="24"/>
        </w:rPr>
        <w:t xml:space="preserve">. </w:t>
      </w:r>
      <w:r w:rsidR="00806DAA" w:rsidRPr="00806DAA">
        <w:rPr>
          <w:rFonts w:ascii="Arial" w:hAnsi="Arial" w:cs="Arial"/>
          <w:sz w:val="24"/>
          <w:szCs w:val="24"/>
        </w:rPr>
        <w:t>Para este propósito, los peces (273</w:t>
      </w:r>
      <w:r w:rsidR="00676C3E">
        <w:rPr>
          <w:rFonts w:ascii="Arial" w:hAnsi="Arial" w:cs="Arial"/>
          <w:sz w:val="24"/>
          <w:szCs w:val="24"/>
        </w:rPr>
        <w:t>±</w:t>
      </w:r>
      <w:r w:rsidR="00806DAA" w:rsidRPr="00806DAA">
        <w:rPr>
          <w:rFonts w:ascii="Arial" w:hAnsi="Arial" w:cs="Arial"/>
          <w:sz w:val="24"/>
          <w:szCs w:val="24"/>
        </w:rPr>
        <w:t>43g y 20</w:t>
      </w:r>
      <w:r w:rsidR="00676C3E">
        <w:rPr>
          <w:rFonts w:ascii="Arial" w:hAnsi="Arial" w:cs="Arial"/>
          <w:sz w:val="24"/>
          <w:szCs w:val="24"/>
        </w:rPr>
        <w:t>±</w:t>
      </w:r>
      <w:r w:rsidR="00806DAA" w:rsidRPr="00806DAA">
        <w:rPr>
          <w:rFonts w:ascii="Arial" w:hAnsi="Arial" w:cs="Arial"/>
          <w:sz w:val="24"/>
          <w:szCs w:val="24"/>
        </w:rPr>
        <w:t>3cm) fueron exp</w:t>
      </w:r>
      <w:r w:rsidR="00806DAA">
        <w:rPr>
          <w:rFonts w:ascii="Arial" w:hAnsi="Arial" w:cs="Arial"/>
          <w:sz w:val="24"/>
          <w:szCs w:val="24"/>
        </w:rPr>
        <w:t>uestos a 3,91, 1,97 y 0,95 mg/L</w:t>
      </w:r>
      <w:r w:rsidR="00806DAA" w:rsidRPr="00806DAA">
        <w:rPr>
          <w:rFonts w:ascii="Arial" w:hAnsi="Arial" w:cs="Arial"/>
          <w:sz w:val="24"/>
          <w:szCs w:val="24"/>
        </w:rPr>
        <w:t xml:space="preserve"> de </w:t>
      </w:r>
      <w:r w:rsidR="00DC3696" w:rsidRPr="00806DAA">
        <w:rPr>
          <w:rFonts w:ascii="Arial" w:hAnsi="Arial" w:cs="Arial"/>
          <w:sz w:val="24"/>
          <w:szCs w:val="24"/>
        </w:rPr>
        <w:t>diazinón</w:t>
      </w:r>
      <w:r w:rsidR="00806DAA" w:rsidRPr="00806DAA">
        <w:rPr>
          <w:rFonts w:ascii="Arial" w:hAnsi="Arial" w:cs="Arial"/>
          <w:sz w:val="24"/>
          <w:szCs w:val="24"/>
        </w:rPr>
        <w:t xml:space="preserve"> (6 y 24 h). Para el ensayo de ROS se aislaron leucocitos sanguíneos totales (1X10</w:t>
      </w:r>
      <w:r w:rsidR="00806DAA" w:rsidRPr="00806DAA">
        <w:rPr>
          <w:rFonts w:ascii="Arial" w:hAnsi="Arial" w:cs="Arial"/>
          <w:sz w:val="24"/>
          <w:szCs w:val="24"/>
          <w:vertAlign w:val="superscript"/>
        </w:rPr>
        <w:t>6</w:t>
      </w:r>
      <w:r w:rsidR="00806DAA" w:rsidRPr="00806DAA">
        <w:rPr>
          <w:rFonts w:ascii="Arial" w:hAnsi="Arial" w:cs="Arial"/>
          <w:sz w:val="24"/>
          <w:szCs w:val="24"/>
        </w:rPr>
        <w:t xml:space="preserve">) y se incubaron con </w:t>
      </w:r>
      <w:proofErr w:type="spellStart"/>
      <w:r w:rsidR="00806DAA" w:rsidRPr="00806DAA">
        <w:rPr>
          <w:rFonts w:ascii="Arial" w:hAnsi="Arial" w:cs="Arial"/>
          <w:sz w:val="24"/>
          <w:szCs w:val="24"/>
        </w:rPr>
        <w:t>dihidrorhodamina</w:t>
      </w:r>
      <w:proofErr w:type="spellEnd"/>
      <w:r w:rsidR="00806DAA" w:rsidRPr="00806DAA">
        <w:rPr>
          <w:rFonts w:ascii="Arial" w:hAnsi="Arial" w:cs="Arial"/>
          <w:sz w:val="24"/>
          <w:szCs w:val="24"/>
        </w:rPr>
        <w:t xml:space="preserve"> 123 (DHR</w:t>
      </w:r>
      <w:r w:rsidR="00806DAA" w:rsidRPr="00806DAA">
        <w:rPr>
          <w:rFonts w:ascii="Arial" w:hAnsi="Arial" w:cs="Arial"/>
          <w:sz w:val="24"/>
          <w:szCs w:val="24"/>
          <w:vertAlign w:val="subscript"/>
        </w:rPr>
        <w:t>123</w:t>
      </w:r>
      <w:r w:rsidR="00676C3E">
        <w:rPr>
          <w:rFonts w:ascii="Arial" w:hAnsi="Arial" w:cs="Arial"/>
          <w:sz w:val="24"/>
          <w:szCs w:val="24"/>
        </w:rPr>
        <w:t>) o</w:t>
      </w:r>
      <w:r w:rsidR="00806DAA" w:rsidRPr="00806D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6DAA" w:rsidRPr="00806DAA">
        <w:rPr>
          <w:rFonts w:ascii="Arial" w:hAnsi="Arial" w:cs="Arial"/>
          <w:sz w:val="24"/>
          <w:szCs w:val="24"/>
        </w:rPr>
        <w:t>dihidroetidio</w:t>
      </w:r>
      <w:proofErr w:type="spellEnd"/>
      <w:r w:rsidR="00806DAA" w:rsidRPr="00806DAA">
        <w:rPr>
          <w:rFonts w:ascii="Arial" w:hAnsi="Arial" w:cs="Arial"/>
          <w:sz w:val="24"/>
          <w:szCs w:val="24"/>
        </w:rPr>
        <w:t xml:space="preserve"> (DHE), para determinar la producción de H</w:t>
      </w:r>
      <w:r w:rsidR="00806DAA" w:rsidRPr="00806DAA">
        <w:rPr>
          <w:rFonts w:ascii="Arial" w:hAnsi="Arial" w:cs="Arial"/>
          <w:sz w:val="24"/>
          <w:szCs w:val="24"/>
          <w:vertAlign w:val="subscript"/>
        </w:rPr>
        <w:t>2</w:t>
      </w:r>
      <w:r w:rsidR="00806DAA" w:rsidRPr="00806DAA">
        <w:rPr>
          <w:rFonts w:ascii="Arial" w:hAnsi="Arial" w:cs="Arial"/>
          <w:sz w:val="24"/>
          <w:szCs w:val="24"/>
        </w:rPr>
        <w:t>O</w:t>
      </w:r>
      <w:r w:rsidR="00806DAA" w:rsidRPr="00806DAA">
        <w:rPr>
          <w:rFonts w:ascii="Arial" w:hAnsi="Arial" w:cs="Arial"/>
          <w:sz w:val="24"/>
          <w:szCs w:val="24"/>
          <w:vertAlign w:val="subscript"/>
        </w:rPr>
        <w:t>2</w:t>
      </w:r>
      <w:r w:rsidR="00806DAA" w:rsidRPr="00806DAA">
        <w:rPr>
          <w:rFonts w:ascii="Arial" w:hAnsi="Arial" w:cs="Arial"/>
          <w:sz w:val="24"/>
          <w:szCs w:val="24"/>
        </w:rPr>
        <w:t xml:space="preserve"> y 0</w:t>
      </w:r>
      <w:r w:rsidR="00806DAA" w:rsidRPr="00806DAA">
        <w:rPr>
          <w:rFonts w:ascii="Arial" w:hAnsi="Arial" w:cs="Arial"/>
          <w:sz w:val="24"/>
          <w:szCs w:val="24"/>
          <w:vertAlign w:val="superscript"/>
        </w:rPr>
        <w:t>2-</w:t>
      </w:r>
      <w:r w:rsidR="00806DAA" w:rsidRPr="00806DAA">
        <w:rPr>
          <w:rFonts w:ascii="Arial" w:hAnsi="Arial" w:cs="Arial"/>
          <w:sz w:val="24"/>
          <w:szCs w:val="24"/>
        </w:rPr>
        <w:t xml:space="preserve">, respectivamente. Para el ensayo de fagocitosis se incubaron las células con perlas fluorescentes (1 </w:t>
      </w:r>
      <w:proofErr w:type="spellStart"/>
      <w:r w:rsidR="00806DAA" w:rsidRPr="00806DAA">
        <w:rPr>
          <w:rFonts w:ascii="Arial" w:hAnsi="Arial" w:cs="Arial"/>
          <w:sz w:val="24"/>
          <w:szCs w:val="24"/>
        </w:rPr>
        <w:t>μm</w:t>
      </w:r>
      <w:proofErr w:type="spellEnd"/>
      <w:r w:rsidR="00806DAA" w:rsidRPr="00806DAA">
        <w:rPr>
          <w:rFonts w:ascii="Arial" w:hAnsi="Arial" w:cs="Arial"/>
          <w:sz w:val="24"/>
          <w:szCs w:val="24"/>
        </w:rPr>
        <w:t>). En cada ensayo, se analizaron 10.000 eventos por citometría de flujo</w:t>
      </w:r>
      <w:r w:rsidR="0061631B">
        <w:rPr>
          <w:rFonts w:ascii="Arial" w:hAnsi="Arial" w:cs="Arial"/>
          <w:sz w:val="24"/>
          <w:szCs w:val="24"/>
        </w:rPr>
        <w:t xml:space="preserve">. </w:t>
      </w:r>
      <w:r w:rsidR="00806DAA" w:rsidRPr="00806DAA">
        <w:rPr>
          <w:rFonts w:ascii="Arial" w:hAnsi="Arial" w:cs="Arial"/>
          <w:sz w:val="24"/>
          <w:szCs w:val="24"/>
        </w:rPr>
        <w:t>Los resultados obtenidos indicaron un incremento en la producción de H</w:t>
      </w:r>
      <w:r w:rsidR="00806DAA" w:rsidRPr="00806DAA">
        <w:rPr>
          <w:rFonts w:ascii="Arial" w:hAnsi="Arial" w:cs="Arial"/>
          <w:sz w:val="24"/>
          <w:szCs w:val="24"/>
          <w:vertAlign w:val="subscript"/>
        </w:rPr>
        <w:t>2</w:t>
      </w:r>
      <w:r w:rsidR="00806DAA" w:rsidRPr="00806DAA">
        <w:rPr>
          <w:rFonts w:ascii="Arial" w:hAnsi="Arial" w:cs="Arial"/>
          <w:sz w:val="24"/>
          <w:szCs w:val="24"/>
        </w:rPr>
        <w:t>O</w:t>
      </w:r>
      <w:r w:rsidR="00806DAA" w:rsidRPr="00806DAA">
        <w:rPr>
          <w:rFonts w:ascii="Arial" w:hAnsi="Arial" w:cs="Arial"/>
          <w:sz w:val="24"/>
          <w:szCs w:val="24"/>
          <w:vertAlign w:val="subscript"/>
        </w:rPr>
        <w:t>2</w:t>
      </w:r>
      <w:r w:rsidR="00806DAA" w:rsidRPr="00806DAA">
        <w:rPr>
          <w:rFonts w:ascii="Arial" w:hAnsi="Arial" w:cs="Arial"/>
          <w:sz w:val="24"/>
          <w:szCs w:val="24"/>
        </w:rPr>
        <w:t xml:space="preserve"> en p</w:t>
      </w:r>
      <w:r w:rsidR="00806DAA">
        <w:rPr>
          <w:rFonts w:ascii="Arial" w:hAnsi="Arial" w:cs="Arial"/>
          <w:sz w:val="24"/>
          <w:szCs w:val="24"/>
        </w:rPr>
        <w:t>eces expuestos a 0,97 y 1,95 mg</w:t>
      </w:r>
      <w:r w:rsidR="00806DAA" w:rsidRPr="00806DAA">
        <w:rPr>
          <w:rFonts w:ascii="Arial" w:hAnsi="Arial" w:cs="Arial"/>
          <w:sz w:val="24"/>
          <w:szCs w:val="24"/>
        </w:rPr>
        <w:t>/</w:t>
      </w:r>
      <w:r w:rsidR="00806DAA">
        <w:rPr>
          <w:rFonts w:ascii="Arial" w:hAnsi="Arial" w:cs="Arial"/>
          <w:sz w:val="24"/>
          <w:szCs w:val="24"/>
        </w:rPr>
        <w:t>L</w:t>
      </w:r>
      <w:r w:rsidR="00806DAA" w:rsidRPr="00806DAA">
        <w:rPr>
          <w:rFonts w:ascii="Arial" w:hAnsi="Arial" w:cs="Arial"/>
          <w:sz w:val="24"/>
          <w:szCs w:val="24"/>
        </w:rPr>
        <w:t xml:space="preserve"> de </w:t>
      </w:r>
      <w:r w:rsidR="00DC3696" w:rsidRPr="00806DAA">
        <w:rPr>
          <w:rFonts w:ascii="Arial" w:hAnsi="Arial" w:cs="Arial"/>
          <w:sz w:val="24"/>
          <w:szCs w:val="24"/>
        </w:rPr>
        <w:t>diazinón</w:t>
      </w:r>
      <w:r w:rsidR="00806DAA" w:rsidRPr="00806DAA">
        <w:rPr>
          <w:rFonts w:ascii="Arial" w:hAnsi="Arial" w:cs="Arial"/>
          <w:sz w:val="24"/>
          <w:szCs w:val="24"/>
        </w:rPr>
        <w:t xml:space="preserve"> (6 y 24 h), </w:t>
      </w:r>
      <w:r w:rsidR="00806DAA">
        <w:rPr>
          <w:rFonts w:ascii="Arial" w:hAnsi="Arial" w:cs="Arial"/>
          <w:sz w:val="24"/>
          <w:szCs w:val="24"/>
        </w:rPr>
        <w:t>mientras que la producción de O</w:t>
      </w:r>
      <w:r w:rsidR="00806DAA" w:rsidRPr="00806DAA">
        <w:rPr>
          <w:rFonts w:ascii="Arial" w:hAnsi="Arial" w:cs="Arial"/>
          <w:sz w:val="24"/>
          <w:szCs w:val="24"/>
          <w:vertAlign w:val="superscript"/>
        </w:rPr>
        <w:t xml:space="preserve">2- </w:t>
      </w:r>
      <w:r w:rsidR="00806DAA" w:rsidRPr="00806DAA">
        <w:rPr>
          <w:rFonts w:ascii="Arial" w:hAnsi="Arial" w:cs="Arial"/>
          <w:sz w:val="24"/>
          <w:szCs w:val="24"/>
        </w:rPr>
        <w:t>aumen</w:t>
      </w:r>
      <w:r w:rsidR="00806DAA">
        <w:rPr>
          <w:rFonts w:ascii="Arial" w:hAnsi="Arial" w:cs="Arial"/>
          <w:sz w:val="24"/>
          <w:szCs w:val="24"/>
        </w:rPr>
        <w:t>tó en peces expuestos a 1,95 mg</w:t>
      </w:r>
      <w:r w:rsidR="00806DAA" w:rsidRPr="00806DAA">
        <w:rPr>
          <w:rFonts w:ascii="Arial" w:hAnsi="Arial" w:cs="Arial"/>
          <w:sz w:val="24"/>
          <w:szCs w:val="24"/>
        </w:rPr>
        <w:t xml:space="preserve">/L (6h). </w:t>
      </w:r>
      <w:r w:rsidR="00806DAA">
        <w:rPr>
          <w:rFonts w:ascii="Arial" w:hAnsi="Arial" w:cs="Arial"/>
          <w:sz w:val="24"/>
          <w:szCs w:val="24"/>
        </w:rPr>
        <w:t>Por otro lado,</w:t>
      </w:r>
      <w:r w:rsidR="00806DAA" w:rsidRPr="00806DAA">
        <w:rPr>
          <w:rFonts w:ascii="Arial" w:hAnsi="Arial" w:cs="Arial"/>
          <w:sz w:val="24"/>
          <w:szCs w:val="24"/>
        </w:rPr>
        <w:t xml:space="preserve"> la capacidad fagocítica disminuyó en los peces expuestos a 1,95 mg/ (6 y 24h). Nuestros result</w:t>
      </w:r>
      <w:r w:rsidR="00806DAA">
        <w:rPr>
          <w:rFonts w:ascii="Arial" w:hAnsi="Arial" w:cs="Arial"/>
          <w:sz w:val="24"/>
          <w:szCs w:val="24"/>
        </w:rPr>
        <w:t xml:space="preserve">ados indican que </w:t>
      </w:r>
      <w:r w:rsidR="00DC3696">
        <w:rPr>
          <w:rFonts w:ascii="Arial" w:hAnsi="Arial" w:cs="Arial"/>
          <w:sz w:val="24"/>
          <w:szCs w:val="24"/>
        </w:rPr>
        <w:t>diazinón</w:t>
      </w:r>
      <w:r w:rsidR="00806DAA">
        <w:rPr>
          <w:rFonts w:ascii="Arial" w:hAnsi="Arial" w:cs="Arial"/>
          <w:sz w:val="24"/>
          <w:szCs w:val="24"/>
        </w:rPr>
        <w:t xml:space="preserve"> puede</w:t>
      </w:r>
      <w:r w:rsidR="00806DAA" w:rsidRPr="00806DAA">
        <w:rPr>
          <w:rFonts w:ascii="Arial" w:hAnsi="Arial" w:cs="Arial"/>
          <w:sz w:val="24"/>
          <w:szCs w:val="24"/>
        </w:rPr>
        <w:t xml:space="preserve"> disminuir la fagocitosis y causar estrés oxidativo en los leucocitos, lo que conduce a una alteración de la respuesta in</w:t>
      </w:r>
      <w:bookmarkStart w:id="0" w:name="_GoBack"/>
      <w:bookmarkEnd w:id="0"/>
      <w:r w:rsidR="00806DAA" w:rsidRPr="00806DAA">
        <w:rPr>
          <w:rFonts w:ascii="Arial" w:hAnsi="Arial" w:cs="Arial"/>
          <w:sz w:val="24"/>
          <w:szCs w:val="24"/>
        </w:rPr>
        <w:t>mune innata contra microorganismos</w:t>
      </w:r>
      <w:r w:rsidR="00806DAA">
        <w:rPr>
          <w:rFonts w:ascii="Arial" w:hAnsi="Arial" w:cs="Arial"/>
          <w:sz w:val="24"/>
          <w:szCs w:val="24"/>
        </w:rPr>
        <w:t xml:space="preserve"> patógenos en</w:t>
      </w:r>
      <w:r w:rsidR="00C921DB">
        <w:rPr>
          <w:rFonts w:ascii="Arial" w:hAnsi="Arial" w:cs="Arial"/>
          <w:sz w:val="24"/>
          <w:szCs w:val="24"/>
        </w:rPr>
        <w:t xml:space="preserve"> </w:t>
      </w:r>
      <w:r w:rsidR="00D21F0A">
        <w:rPr>
          <w:rFonts w:ascii="Arial" w:hAnsi="Arial" w:cs="Arial"/>
          <w:sz w:val="24"/>
          <w:szCs w:val="24"/>
        </w:rPr>
        <w:t>peces</w:t>
      </w:r>
      <w:r w:rsidR="002B0D6C">
        <w:rPr>
          <w:rFonts w:ascii="Arial" w:hAnsi="Arial" w:cs="Arial"/>
          <w:sz w:val="24"/>
          <w:szCs w:val="24"/>
        </w:rPr>
        <w:t xml:space="preserve"> expuestos a</w:t>
      </w:r>
      <w:r w:rsidR="00EA00FF">
        <w:rPr>
          <w:rFonts w:ascii="Arial" w:hAnsi="Arial" w:cs="Arial"/>
          <w:sz w:val="24"/>
          <w:szCs w:val="24"/>
        </w:rPr>
        <w:t>l plaguicida organo</w:t>
      </w:r>
      <w:r w:rsidR="00DC3696">
        <w:rPr>
          <w:rFonts w:ascii="Arial" w:hAnsi="Arial" w:cs="Arial"/>
          <w:sz w:val="24"/>
          <w:szCs w:val="24"/>
        </w:rPr>
        <w:t>fosforado</w:t>
      </w:r>
      <w:r w:rsidR="00EA00FF">
        <w:rPr>
          <w:rFonts w:ascii="Arial" w:hAnsi="Arial" w:cs="Arial"/>
          <w:sz w:val="24"/>
          <w:szCs w:val="24"/>
        </w:rPr>
        <w:t xml:space="preserve"> diazinón (1.95 ppm)</w:t>
      </w:r>
      <w:r w:rsidR="005F62E6">
        <w:rPr>
          <w:rFonts w:ascii="Arial" w:hAnsi="Arial" w:cs="Arial"/>
          <w:sz w:val="24"/>
          <w:szCs w:val="24"/>
        </w:rPr>
        <w:t>, lo que</w:t>
      </w:r>
      <w:r w:rsidR="00C90331">
        <w:rPr>
          <w:rFonts w:ascii="Arial" w:hAnsi="Arial" w:cs="Arial"/>
          <w:sz w:val="24"/>
          <w:szCs w:val="24"/>
        </w:rPr>
        <w:t xml:space="preserve"> podría </w:t>
      </w:r>
      <w:r w:rsidR="005C3E47">
        <w:rPr>
          <w:rFonts w:ascii="Arial" w:hAnsi="Arial" w:cs="Arial"/>
          <w:sz w:val="24"/>
          <w:szCs w:val="24"/>
        </w:rPr>
        <w:t>incrementar la</w:t>
      </w:r>
      <w:r w:rsidR="005F62E6">
        <w:rPr>
          <w:rFonts w:ascii="Arial" w:hAnsi="Arial" w:cs="Arial"/>
          <w:sz w:val="24"/>
          <w:szCs w:val="24"/>
        </w:rPr>
        <w:t xml:space="preserve"> suscept</w:t>
      </w:r>
      <w:r w:rsidR="005C3E47">
        <w:rPr>
          <w:rFonts w:ascii="Arial" w:hAnsi="Arial" w:cs="Arial"/>
          <w:sz w:val="24"/>
          <w:szCs w:val="24"/>
        </w:rPr>
        <w:t xml:space="preserve">ibilidad </w:t>
      </w:r>
      <w:r w:rsidR="005F62E6">
        <w:rPr>
          <w:rFonts w:ascii="Arial" w:hAnsi="Arial" w:cs="Arial"/>
          <w:sz w:val="24"/>
          <w:szCs w:val="24"/>
        </w:rPr>
        <w:t>a enfermedades o inclusive causar mortalidad</w:t>
      </w:r>
      <w:r w:rsidR="006D1BA5">
        <w:rPr>
          <w:rFonts w:ascii="Arial" w:hAnsi="Arial" w:cs="Arial"/>
          <w:sz w:val="24"/>
          <w:szCs w:val="24"/>
        </w:rPr>
        <w:t>.</w:t>
      </w:r>
    </w:p>
    <w:p w14:paraId="1F988715" w14:textId="77777777" w:rsidR="002B5FC4" w:rsidRPr="00B93CD5" w:rsidRDefault="002B5F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B5FC4" w:rsidRPr="00B93CD5" w:rsidSect="00F1050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69F"/>
    <w:multiLevelType w:val="multilevel"/>
    <w:tmpl w:val="4C84B9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04F58"/>
    <w:multiLevelType w:val="multilevel"/>
    <w:tmpl w:val="38AC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04F04F8"/>
    <w:multiLevelType w:val="multilevel"/>
    <w:tmpl w:val="90D8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5063E83"/>
    <w:multiLevelType w:val="multilevel"/>
    <w:tmpl w:val="E1E8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8AA6944"/>
    <w:multiLevelType w:val="multilevel"/>
    <w:tmpl w:val="2B02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EE"/>
    <w:rsid w:val="00034B97"/>
    <w:rsid w:val="00035423"/>
    <w:rsid w:val="00070E20"/>
    <w:rsid w:val="0009609F"/>
    <w:rsid w:val="000A53E2"/>
    <w:rsid w:val="000D7428"/>
    <w:rsid w:val="000D78E1"/>
    <w:rsid w:val="000E7BED"/>
    <w:rsid w:val="0014630E"/>
    <w:rsid w:val="00153E7B"/>
    <w:rsid w:val="001626CA"/>
    <w:rsid w:val="00191BD6"/>
    <w:rsid w:val="001A4F2E"/>
    <w:rsid w:val="001A5AE3"/>
    <w:rsid w:val="001D555B"/>
    <w:rsid w:val="0021070A"/>
    <w:rsid w:val="002162DB"/>
    <w:rsid w:val="00217BAC"/>
    <w:rsid w:val="00243E40"/>
    <w:rsid w:val="00251394"/>
    <w:rsid w:val="002924EE"/>
    <w:rsid w:val="002B0D6C"/>
    <w:rsid w:val="002B5D7D"/>
    <w:rsid w:val="002B5FC4"/>
    <w:rsid w:val="002D4AE5"/>
    <w:rsid w:val="002D62DF"/>
    <w:rsid w:val="003016A6"/>
    <w:rsid w:val="003163EA"/>
    <w:rsid w:val="00321E82"/>
    <w:rsid w:val="00357AD5"/>
    <w:rsid w:val="00392A2E"/>
    <w:rsid w:val="003C2E03"/>
    <w:rsid w:val="003C5B5F"/>
    <w:rsid w:val="003F018E"/>
    <w:rsid w:val="00442882"/>
    <w:rsid w:val="0044429E"/>
    <w:rsid w:val="00495621"/>
    <w:rsid w:val="004A148E"/>
    <w:rsid w:val="004A1FC5"/>
    <w:rsid w:val="004B3BA9"/>
    <w:rsid w:val="004C47F9"/>
    <w:rsid w:val="004C5082"/>
    <w:rsid w:val="004D16F0"/>
    <w:rsid w:val="004E418E"/>
    <w:rsid w:val="00516C86"/>
    <w:rsid w:val="005421A3"/>
    <w:rsid w:val="0058412D"/>
    <w:rsid w:val="00596A11"/>
    <w:rsid w:val="005B048C"/>
    <w:rsid w:val="005B0D1D"/>
    <w:rsid w:val="005C210F"/>
    <w:rsid w:val="005C3E47"/>
    <w:rsid w:val="005D52F8"/>
    <w:rsid w:val="005D7367"/>
    <w:rsid w:val="005F62E6"/>
    <w:rsid w:val="0061631B"/>
    <w:rsid w:val="00625D44"/>
    <w:rsid w:val="006515D7"/>
    <w:rsid w:val="006529E1"/>
    <w:rsid w:val="00670A60"/>
    <w:rsid w:val="00676C3E"/>
    <w:rsid w:val="00694E3C"/>
    <w:rsid w:val="006D1BA5"/>
    <w:rsid w:val="006E4AF7"/>
    <w:rsid w:val="00727336"/>
    <w:rsid w:val="00760C26"/>
    <w:rsid w:val="00792041"/>
    <w:rsid w:val="00794244"/>
    <w:rsid w:val="007D25AF"/>
    <w:rsid w:val="007F7DF5"/>
    <w:rsid w:val="00805E6A"/>
    <w:rsid w:val="008068DC"/>
    <w:rsid w:val="00806DAA"/>
    <w:rsid w:val="00823594"/>
    <w:rsid w:val="00842563"/>
    <w:rsid w:val="00847FEA"/>
    <w:rsid w:val="00852E36"/>
    <w:rsid w:val="008A7D06"/>
    <w:rsid w:val="008B33D3"/>
    <w:rsid w:val="008D0431"/>
    <w:rsid w:val="00914224"/>
    <w:rsid w:val="00920084"/>
    <w:rsid w:val="00946DCD"/>
    <w:rsid w:val="00962C93"/>
    <w:rsid w:val="009822D2"/>
    <w:rsid w:val="0098289E"/>
    <w:rsid w:val="009D5713"/>
    <w:rsid w:val="009E013A"/>
    <w:rsid w:val="00A02A2B"/>
    <w:rsid w:val="00A54079"/>
    <w:rsid w:val="00A70BC9"/>
    <w:rsid w:val="00AB0D7D"/>
    <w:rsid w:val="00AB748B"/>
    <w:rsid w:val="00AC02A0"/>
    <w:rsid w:val="00AD507E"/>
    <w:rsid w:val="00AE2587"/>
    <w:rsid w:val="00B16E01"/>
    <w:rsid w:val="00B27C18"/>
    <w:rsid w:val="00B3787F"/>
    <w:rsid w:val="00B45493"/>
    <w:rsid w:val="00B50621"/>
    <w:rsid w:val="00B53367"/>
    <w:rsid w:val="00B66A3B"/>
    <w:rsid w:val="00B93CD5"/>
    <w:rsid w:val="00B94FFE"/>
    <w:rsid w:val="00BC165F"/>
    <w:rsid w:val="00BE0482"/>
    <w:rsid w:val="00BE20A3"/>
    <w:rsid w:val="00BE766D"/>
    <w:rsid w:val="00BF7D4B"/>
    <w:rsid w:val="00C1600C"/>
    <w:rsid w:val="00C563D0"/>
    <w:rsid w:val="00C90331"/>
    <w:rsid w:val="00C921DB"/>
    <w:rsid w:val="00C94A49"/>
    <w:rsid w:val="00CF67FF"/>
    <w:rsid w:val="00D04C6D"/>
    <w:rsid w:val="00D07466"/>
    <w:rsid w:val="00D21F0A"/>
    <w:rsid w:val="00D346AC"/>
    <w:rsid w:val="00D73AE2"/>
    <w:rsid w:val="00D9163F"/>
    <w:rsid w:val="00DB2828"/>
    <w:rsid w:val="00DC3696"/>
    <w:rsid w:val="00DC6CC7"/>
    <w:rsid w:val="00DE2B9E"/>
    <w:rsid w:val="00DF7D7E"/>
    <w:rsid w:val="00E22812"/>
    <w:rsid w:val="00E71D90"/>
    <w:rsid w:val="00E747C1"/>
    <w:rsid w:val="00EA00FF"/>
    <w:rsid w:val="00EB77E9"/>
    <w:rsid w:val="00EE0724"/>
    <w:rsid w:val="00EE0DE7"/>
    <w:rsid w:val="00F00E13"/>
    <w:rsid w:val="00F052BE"/>
    <w:rsid w:val="00F10505"/>
    <w:rsid w:val="00F24C92"/>
    <w:rsid w:val="00F31E1C"/>
    <w:rsid w:val="00F35D6A"/>
    <w:rsid w:val="00F36092"/>
    <w:rsid w:val="00FA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61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E7"/>
    <w:pPr>
      <w:spacing w:after="200" w:line="276" w:lineRule="auto"/>
    </w:pPr>
    <w:rPr>
      <w:rFonts w:cs="Calibri"/>
      <w:lang w:val="es-MX"/>
    </w:rPr>
  </w:style>
  <w:style w:type="paragraph" w:styleId="Ttulo1">
    <w:name w:val="heading 1"/>
    <w:basedOn w:val="Normal"/>
    <w:link w:val="Ttulo1Car"/>
    <w:uiPriority w:val="99"/>
    <w:qFormat/>
    <w:rsid w:val="00FA0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9"/>
    <w:qFormat/>
    <w:rsid w:val="00FA0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FA081C"/>
    <w:rPr>
      <w:rFonts w:ascii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9"/>
    <w:rsid w:val="00FA081C"/>
    <w:rPr>
      <w:rFonts w:ascii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rsid w:val="0039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99"/>
    <w:qFormat/>
    <w:rsid w:val="00392A2E"/>
    <w:rPr>
      <w:b/>
      <w:bCs/>
    </w:rPr>
  </w:style>
  <w:style w:type="character" w:styleId="Hipervnculo">
    <w:name w:val="Hyperlink"/>
    <w:basedOn w:val="Fuentedeprrafopredeter"/>
    <w:uiPriority w:val="99"/>
    <w:semiHidden/>
    <w:rsid w:val="00FA081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uiPriority w:val="99"/>
    <w:rsid w:val="00FA081C"/>
  </w:style>
  <w:style w:type="paragraph" w:styleId="Textodeglobo">
    <w:name w:val="Balloon Text"/>
    <w:basedOn w:val="Normal"/>
    <w:link w:val="TextodegloboCar"/>
    <w:uiPriority w:val="99"/>
    <w:semiHidden/>
    <w:rsid w:val="00FA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81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A1F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1F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1FC5"/>
    <w:rPr>
      <w:rFonts w:cs="Calibri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1F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1FC5"/>
    <w:rPr>
      <w:rFonts w:cs="Calibri"/>
      <w:b/>
      <w:bCs/>
      <w:sz w:val="20"/>
      <w:szCs w:val="20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E7"/>
    <w:pPr>
      <w:spacing w:after="200" w:line="276" w:lineRule="auto"/>
    </w:pPr>
    <w:rPr>
      <w:rFonts w:cs="Calibri"/>
      <w:lang w:val="es-MX"/>
    </w:rPr>
  </w:style>
  <w:style w:type="paragraph" w:styleId="Ttulo1">
    <w:name w:val="heading 1"/>
    <w:basedOn w:val="Normal"/>
    <w:link w:val="Ttulo1Car"/>
    <w:uiPriority w:val="99"/>
    <w:qFormat/>
    <w:rsid w:val="00FA0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9"/>
    <w:qFormat/>
    <w:rsid w:val="00FA08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FA081C"/>
    <w:rPr>
      <w:rFonts w:ascii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9"/>
    <w:rsid w:val="00FA081C"/>
    <w:rPr>
      <w:rFonts w:ascii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rsid w:val="00392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99"/>
    <w:qFormat/>
    <w:rsid w:val="00392A2E"/>
    <w:rPr>
      <w:b/>
      <w:bCs/>
    </w:rPr>
  </w:style>
  <w:style w:type="character" w:styleId="Hipervnculo">
    <w:name w:val="Hyperlink"/>
    <w:basedOn w:val="Fuentedeprrafopredeter"/>
    <w:uiPriority w:val="99"/>
    <w:semiHidden/>
    <w:rsid w:val="00FA081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uiPriority w:val="99"/>
    <w:rsid w:val="00FA081C"/>
  </w:style>
  <w:style w:type="paragraph" w:styleId="Textodeglobo">
    <w:name w:val="Balloon Text"/>
    <w:basedOn w:val="Normal"/>
    <w:link w:val="TextodegloboCar"/>
    <w:uiPriority w:val="99"/>
    <w:semiHidden/>
    <w:rsid w:val="00FA0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081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A1F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1F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1FC5"/>
    <w:rPr>
      <w:rFonts w:cs="Calibri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1F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1FC5"/>
    <w:rPr>
      <w:rFonts w:cs="Calibri"/>
      <w:b/>
      <w:bCs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3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0387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037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037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03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30" w:color="DDDDDD"/>
                    <w:right w:val="none" w:sz="0" w:space="0" w:color="auto"/>
                  </w:divBdr>
                </w:div>
                <w:div w:id="982730396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037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7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0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30" w:color="DDDDDD"/>
                    <w:right w:val="none" w:sz="0" w:space="0" w:color="auto"/>
                  </w:divBdr>
                </w:div>
                <w:div w:id="982730391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0383">
                      <w:marLeft w:val="49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7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0394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037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039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7303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30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73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van_giron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4D95-FD55-4199-A0E0-A0F56476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Estandarización de metodología de citometría de flujo para evaluar actividad fagocítica de células mononucleares de bazo de ti</vt:lpstr>
    </vt:vector>
  </TitlesOfParts>
  <Company>CO_Quinteros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Estandarización de metodología de citometría de flujo para evaluar actividad fagocítica de células mononucleares de bazo de ti</dc:title>
  <dc:creator>Carlos Cov</dc:creator>
  <cp:lastModifiedBy>carlos eduardo covantes rosales</cp:lastModifiedBy>
  <cp:revision>2</cp:revision>
  <dcterms:created xsi:type="dcterms:W3CDTF">2017-08-25T18:21:00Z</dcterms:created>
  <dcterms:modified xsi:type="dcterms:W3CDTF">2017-08-25T18:21:00Z</dcterms:modified>
</cp:coreProperties>
</file>