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C3" w:rsidRDefault="00223236" w:rsidP="00E177E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3236">
        <w:rPr>
          <w:rFonts w:ascii="Arial" w:hAnsi="Arial" w:cs="Arial"/>
          <w:b/>
          <w:bCs/>
          <w:sz w:val="24"/>
          <w:szCs w:val="24"/>
        </w:rPr>
        <w:t xml:space="preserve">Evaluación de color y concentración de carotenoides en piel y músculo de tilapia roja </w:t>
      </w:r>
      <w:r>
        <w:rPr>
          <w:rFonts w:ascii="Arial" w:hAnsi="Arial" w:cs="Arial"/>
          <w:sz w:val="24"/>
          <w:szCs w:val="24"/>
        </w:rPr>
        <w:t>(Red florida: R</w:t>
      </w:r>
      <w:r w:rsidRPr="00223236">
        <w:rPr>
          <w:rFonts w:ascii="Arial" w:hAnsi="Arial" w:cs="Arial"/>
          <w:sz w:val="24"/>
          <w:szCs w:val="24"/>
        </w:rPr>
        <w:t>ed jumbo)</w:t>
      </w:r>
      <w:r w:rsidRPr="00223236">
        <w:rPr>
          <w:rFonts w:ascii="Arial" w:hAnsi="Arial" w:cs="Arial"/>
          <w:b/>
          <w:sz w:val="24"/>
          <w:szCs w:val="24"/>
        </w:rPr>
        <w:t xml:space="preserve"> </w:t>
      </w:r>
      <w:r w:rsidRPr="00223236">
        <w:rPr>
          <w:rFonts w:ascii="Arial" w:hAnsi="Arial" w:cs="Arial"/>
          <w:b/>
          <w:bCs/>
          <w:sz w:val="24"/>
          <w:szCs w:val="24"/>
        </w:rPr>
        <w:t>y huachinango</w:t>
      </w:r>
      <w:r w:rsidRPr="0022323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</w:t>
      </w:r>
      <w:r w:rsidRPr="00223236">
        <w:rPr>
          <w:rFonts w:ascii="Arial" w:hAnsi="Arial" w:cs="Arial"/>
          <w:i/>
          <w:iCs/>
          <w:sz w:val="24"/>
          <w:szCs w:val="24"/>
        </w:rPr>
        <w:t>utjanus</w:t>
      </w:r>
      <w:proofErr w:type="spellEnd"/>
      <w:r w:rsidRPr="0022323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23236">
        <w:rPr>
          <w:rFonts w:ascii="Arial" w:hAnsi="Arial" w:cs="Arial"/>
          <w:i/>
          <w:iCs/>
          <w:sz w:val="24"/>
          <w:szCs w:val="24"/>
        </w:rPr>
        <w:t>peru</w:t>
      </w:r>
      <w:proofErr w:type="spellEnd"/>
      <w:r w:rsidRPr="00223236">
        <w:rPr>
          <w:rFonts w:ascii="Arial" w:hAnsi="Arial" w:cs="Arial"/>
          <w:i/>
          <w:iCs/>
          <w:sz w:val="24"/>
          <w:szCs w:val="24"/>
        </w:rPr>
        <w:t>)</w:t>
      </w:r>
      <w:r w:rsidRPr="0022323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 M</w:t>
      </w:r>
      <w:r w:rsidRPr="00223236">
        <w:rPr>
          <w:rFonts w:ascii="Arial" w:hAnsi="Arial" w:cs="Arial"/>
          <w:b/>
          <w:bCs/>
          <w:sz w:val="24"/>
          <w:szCs w:val="24"/>
        </w:rPr>
        <w:t>éxico</w:t>
      </w:r>
    </w:p>
    <w:p w:rsidR="0004734E" w:rsidRDefault="00B37C39" w:rsidP="00E177E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Carvajal-</w:t>
      </w:r>
      <w:r w:rsidR="008C3B03" w:rsidRPr="008C3B03">
        <w:rPr>
          <w:rFonts w:ascii="Arial" w:hAnsi="Arial" w:cs="Arial"/>
          <w:b/>
          <w:sz w:val="24"/>
          <w:szCs w:val="24"/>
        </w:rPr>
        <w:t>García</w:t>
      </w:r>
      <w:r w:rsidR="000E762D">
        <w:rPr>
          <w:rFonts w:ascii="Arial" w:hAnsi="Arial" w:cs="Arial"/>
          <w:b/>
          <w:sz w:val="24"/>
          <w:szCs w:val="24"/>
        </w:rPr>
        <w:t xml:space="preserve"> A</w:t>
      </w:r>
      <w:r w:rsidR="008C3B03">
        <w:rPr>
          <w:rFonts w:ascii="Arial" w:hAnsi="Arial" w:cs="Arial"/>
          <w:b/>
          <w:sz w:val="24"/>
          <w:szCs w:val="24"/>
        </w:rPr>
        <w:t>V</w:t>
      </w:r>
      <w:r w:rsidR="008C3B03" w:rsidRPr="008C3B03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C3B03">
        <w:rPr>
          <w:rFonts w:ascii="Arial" w:hAnsi="Arial" w:cs="Arial"/>
          <w:b/>
          <w:sz w:val="24"/>
          <w:szCs w:val="24"/>
        </w:rPr>
        <w:t xml:space="preserve">, </w:t>
      </w:r>
      <w:r w:rsidR="000E762D">
        <w:rPr>
          <w:rFonts w:ascii="Arial" w:hAnsi="Arial" w:cs="Arial"/>
          <w:b/>
          <w:sz w:val="24"/>
          <w:szCs w:val="24"/>
        </w:rPr>
        <w:t>Bernal-</w:t>
      </w:r>
      <w:r w:rsidR="008C3B03" w:rsidRPr="008C3B03">
        <w:rPr>
          <w:rFonts w:ascii="Arial" w:hAnsi="Arial" w:cs="Arial"/>
          <w:b/>
          <w:sz w:val="24"/>
          <w:szCs w:val="24"/>
        </w:rPr>
        <w:t>Rodríguez</w:t>
      </w:r>
      <w:r w:rsidR="000E762D">
        <w:rPr>
          <w:rFonts w:ascii="Arial" w:hAnsi="Arial" w:cs="Arial"/>
          <w:b/>
          <w:sz w:val="24"/>
          <w:szCs w:val="24"/>
        </w:rPr>
        <w:t xml:space="preserve"> CE</w:t>
      </w:r>
      <w:r w:rsidR="008C3B03" w:rsidRPr="008C3B03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C3B0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E762D">
        <w:rPr>
          <w:rFonts w:ascii="Arial" w:hAnsi="Arial" w:cs="Arial"/>
          <w:b/>
          <w:sz w:val="24"/>
          <w:szCs w:val="24"/>
        </w:rPr>
        <w:t>Spanopoulos</w:t>
      </w:r>
      <w:proofErr w:type="spellEnd"/>
      <w:r w:rsidR="000E762D">
        <w:rPr>
          <w:rFonts w:ascii="Arial" w:hAnsi="Arial" w:cs="Arial"/>
          <w:b/>
          <w:sz w:val="24"/>
          <w:szCs w:val="24"/>
        </w:rPr>
        <w:t>-</w:t>
      </w:r>
      <w:r w:rsidR="008C3B03" w:rsidRPr="008C3B03">
        <w:rPr>
          <w:rFonts w:ascii="Arial" w:hAnsi="Arial" w:cs="Arial"/>
          <w:b/>
          <w:sz w:val="24"/>
          <w:szCs w:val="24"/>
        </w:rPr>
        <w:t>Hernández</w:t>
      </w:r>
      <w:r w:rsidR="000E762D">
        <w:rPr>
          <w:rFonts w:ascii="Arial" w:hAnsi="Arial" w:cs="Arial"/>
          <w:b/>
          <w:sz w:val="24"/>
          <w:szCs w:val="24"/>
        </w:rPr>
        <w:t xml:space="preserve"> M</w:t>
      </w:r>
      <w:r w:rsidR="008C3B03" w:rsidRPr="008C3B03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8C3B03">
        <w:rPr>
          <w:rFonts w:ascii="Arial" w:hAnsi="Arial" w:cs="Arial"/>
          <w:b/>
          <w:sz w:val="24"/>
          <w:szCs w:val="24"/>
        </w:rPr>
        <w:t>,</w:t>
      </w:r>
      <w:r w:rsidR="008C3B03" w:rsidRPr="008C3B03">
        <w:rPr>
          <w:rFonts w:ascii="Arial" w:hAnsi="Arial" w:cs="Arial"/>
          <w:b/>
          <w:sz w:val="24"/>
          <w:szCs w:val="24"/>
        </w:rPr>
        <w:t xml:space="preserve"> Ponce</w:t>
      </w:r>
      <w:r w:rsidR="000E762D">
        <w:rPr>
          <w:rFonts w:ascii="Arial" w:hAnsi="Arial" w:cs="Arial"/>
          <w:b/>
          <w:sz w:val="24"/>
          <w:szCs w:val="24"/>
        </w:rPr>
        <w:t>-</w:t>
      </w:r>
      <w:r w:rsidR="008C3B03" w:rsidRPr="008C3B03">
        <w:rPr>
          <w:rFonts w:ascii="Arial" w:hAnsi="Arial" w:cs="Arial"/>
          <w:b/>
          <w:sz w:val="24"/>
          <w:szCs w:val="24"/>
        </w:rPr>
        <w:t xml:space="preserve"> Palafox</w:t>
      </w:r>
      <w:r w:rsidR="000E762D">
        <w:rPr>
          <w:rFonts w:ascii="Arial" w:hAnsi="Arial" w:cs="Arial"/>
          <w:b/>
          <w:sz w:val="24"/>
          <w:szCs w:val="24"/>
        </w:rPr>
        <w:t xml:space="preserve"> JT</w:t>
      </w:r>
      <w:r w:rsidR="008C3B03" w:rsidRPr="008C3B03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C3B03">
        <w:rPr>
          <w:rFonts w:ascii="Arial" w:hAnsi="Arial" w:cs="Arial"/>
          <w:b/>
          <w:sz w:val="24"/>
          <w:szCs w:val="24"/>
        </w:rPr>
        <w:t xml:space="preserve">, </w:t>
      </w:r>
      <w:r w:rsidR="000E762D">
        <w:rPr>
          <w:rFonts w:ascii="Arial" w:hAnsi="Arial" w:cs="Arial"/>
          <w:b/>
          <w:sz w:val="24"/>
          <w:szCs w:val="24"/>
        </w:rPr>
        <w:t>Castillo-</w:t>
      </w:r>
      <w:proofErr w:type="spellStart"/>
      <w:r w:rsidR="008C3B03" w:rsidRPr="008C3B03">
        <w:rPr>
          <w:rFonts w:ascii="Arial" w:hAnsi="Arial" w:cs="Arial"/>
          <w:b/>
          <w:sz w:val="24"/>
          <w:szCs w:val="24"/>
        </w:rPr>
        <w:t>Vargasmachuca</w:t>
      </w:r>
      <w:proofErr w:type="spellEnd"/>
      <w:r w:rsidR="000E762D">
        <w:rPr>
          <w:rFonts w:ascii="Arial" w:hAnsi="Arial" w:cs="Arial"/>
          <w:b/>
          <w:sz w:val="24"/>
          <w:szCs w:val="24"/>
        </w:rPr>
        <w:t xml:space="preserve"> SG</w:t>
      </w:r>
      <w:r w:rsidR="008C3B03" w:rsidRPr="008C3B03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C3B03">
        <w:rPr>
          <w:rFonts w:ascii="Arial" w:hAnsi="Arial" w:cs="Arial"/>
          <w:b/>
          <w:sz w:val="24"/>
          <w:szCs w:val="24"/>
        </w:rPr>
        <w:t xml:space="preserve">, </w:t>
      </w:r>
      <w:r w:rsidR="000E762D">
        <w:rPr>
          <w:rFonts w:ascii="Arial" w:hAnsi="Arial" w:cs="Arial"/>
          <w:b/>
          <w:sz w:val="24"/>
          <w:szCs w:val="24"/>
        </w:rPr>
        <w:t>Gallegos-</w:t>
      </w:r>
      <w:r w:rsidR="008C3B03" w:rsidRPr="008C3B03">
        <w:rPr>
          <w:rFonts w:ascii="Arial" w:hAnsi="Arial" w:cs="Arial"/>
          <w:b/>
          <w:sz w:val="24"/>
          <w:szCs w:val="24"/>
        </w:rPr>
        <w:t>Labias</w:t>
      </w:r>
      <w:r w:rsidR="000E762D">
        <w:rPr>
          <w:rFonts w:ascii="Arial" w:hAnsi="Arial" w:cs="Arial"/>
          <w:b/>
          <w:sz w:val="24"/>
          <w:szCs w:val="24"/>
        </w:rPr>
        <w:t xml:space="preserve"> AM</w:t>
      </w:r>
      <w:r w:rsidR="008C3B03" w:rsidRPr="008C3B03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8C3B03" w:rsidRPr="008C3B03">
        <w:rPr>
          <w:rFonts w:ascii="Arial" w:hAnsi="Arial" w:cs="Arial"/>
          <w:sz w:val="24"/>
          <w:szCs w:val="24"/>
          <w:vertAlign w:val="superscript"/>
        </w:rPr>
        <w:br/>
      </w:r>
      <w:r w:rsidR="008C3B03" w:rsidRPr="0004734E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8C3B03" w:rsidRPr="0004734E">
        <w:rPr>
          <w:rFonts w:ascii="Arial" w:hAnsi="Arial" w:cs="Arial"/>
          <w:b/>
          <w:sz w:val="24"/>
          <w:szCs w:val="24"/>
          <w:lang w:val="es-ES_tradnl"/>
        </w:rPr>
        <w:t xml:space="preserve">Universidad Autónoma de Nayarit, Laboratorio de Bioingeniería Acuícola, Escuela Nacional de Ingeniería Pesquera, </w:t>
      </w:r>
      <w:r w:rsidR="008C3B03" w:rsidRPr="0004734E">
        <w:rPr>
          <w:rFonts w:ascii="Arial" w:hAnsi="Arial" w:cs="Arial"/>
          <w:b/>
          <w:sz w:val="24"/>
          <w:szCs w:val="24"/>
        </w:rPr>
        <w:t xml:space="preserve">Bahía de </w:t>
      </w:r>
      <w:proofErr w:type="spellStart"/>
      <w:r w:rsidR="008C3B03" w:rsidRPr="0004734E">
        <w:rPr>
          <w:rFonts w:ascii="Arial" w:hAnsi="Arial" w:cs="Arial"/>
          <w:b/>
          <w:sz w:val="24"/>
          <w:szCs w:val="24"/>
        </w:rPr>
        <w:t>Matanchén</w:t>
      </w:r>
      <w:proofErr w:type="spellEnd"/>
      <w:r w:rsidR="008C3B03" w:rsidRPr="0004734E">
        <w:rPr>
          <w:rFonts w:ascii="Arial" w:hAnsi="Arial" w:cs="Arial"/>
          <w:b/>
          <w:sz w:val="24"/>
          <w:szCs w:val="24"/>
        </w:rPr>
        <w:t xml:space="preserve"> Km. 12, Carretera a los Cocos</w:t>
      </w:r>
      <w:r w:rsidR="008C3B03" w:rsidRPr="0004734E">
        <w:rPr>
          <w:rFonts w:ascii="Arial" w:hAnsi="Arial" w:cs="Arial"/>
          <w:b/>
          <w:sz w:val="24"/>
          <w:szCs w:val="24"/>
          <w:lang w:val="es-ES_tradnl"/>
        </w:rPr>
        <w:t xml:space="preserve">, San </w:t>
      </w:r>
      <w:proofErr w:type="spellStart"/>
      <w:r w:rsidR="008C3B03" w:rsidRPr="0004734E">
        <w:rPr>
          <w:rFonts w:ascii="Arial" w:hAnsi="Arial" w:cs="Arial"/>
          <w:b/>
          <w:sz w:val="24"/>
          <w:szCs w:val="24"/>
          <w:lang w:val="es-ES_tradnl"/>
        </w:rPr>
        <w:t>blas</w:t>
      </w:r>
      <w:proofErr w:type="spellEnd"/>
      <w:r w:rsidR="008C3B03" w:rsidRPr="0004734E">
        <w:rPr>
          <w:rFonts w:ascii="Arial" w:hAnsi="Arial" w:cs="Arial"/>
          <w:b/>
          <w:sz w:val="24"/>
          <w:szCs w:val="24"/>
          <w:lang w:val="es-ES_tradnl"/>
        </w:rPr>
        <w:t xml:space="preserve">, Nayarit, México. C. P. 63740. </w:t>
      </w:r>
      <w:r w:rsidR="008C3B03" w:rsidRPr="0004734E">
        <w:rPr>
          <w:rFonts w:ascii="Arial" w:hAnsi="Arial" w:cs="Arial"/>
          <w:b/>
          <w:sz w:val="24"/>
          <w:szCs w:val="24"/>
          <w:lang w:val="es-ES_tradnl"/>
        </w:rPr>
        <w:br/>
      </w:r>
      <w:r w:rsidR="008C3B03" w:rsidRPr="0004734E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8C3B03" w:rsidRPr="0004734E">
        <w:rPr>
          <w:rFonts w:ascii="Arial" w:hAnsi="Arial" w:cs="Arial"/>
          <w:b/>
          <w:sz w:val="24"/>
          <w:szCs w:val="24"/>
          <w:lang w:val="es-ES"/>
        </w:rPr>
        <w:t>Instituto Tecnológico De Mazatlán, Calle Corsario 1 No. 203, Colonia Urías. Mazatlán, Sinaloa. México. C. P. 82090</w:t>
      </w:r>
    </w:p>
    <w:p w:rsidR="0004734E" w:rsidRPr="0004734E" w:rsidRDefault="0004734E" w:rsidP="00E177E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4734E">
        <w:rPr>
          <w:rFonts w:ascii="Arial" w:hAnsi="Arial" w:cs="Arial"/>
          <w:b/>
          <w:sz w:val="24"/>
          <w:szCs w:val="24"/>
          <w:lang w:val="es-ES"/>
        </w:rPr>
        <w:t xml:space="preserve">Tepic, Nayarit, </w:t>
      </w:r>
      <w:r w:rsidR="00F51619" w:rsidRPr="0004734E">
        <w:rPr>
          <w:rFonts w:ascii="Arial" w:hAnsi="Arial" w:cs="Arial"/>
          <w:b/>
          <w:sz w:val="24"/>
          <w:szCs w:val="24"/>
          <w:lang w:val="es-ES"/>
        </w:rPr>
        <w:t xml:space="preserve">Fracc. Ciudad del Valle, calle </w:t>
      </w:r>
      <w:proofErr w:type="spellStart"/>
      <w:r w:rsidR="00F51619" w:rsidRPr="0004734E">
        <w:rPr>
          <w:rFonts w:ascii="Arial" w:hAnsi="Arial" w:cs="Arial"/>
          <w:b/>
          <w:sz w:val="24"/>
          <w:szCs w:val="24"/>
          <w:lang w:val="es-ES"/>
        </w:rPr>
        <w:t>napoles</w:t>
      </w:r>
      <w:proofErr w:type="spellEnd"/>
      <w:r w:rsidR="00F51619" w:rsidRPr="0004734E">
        <w:rPr>
          <w:rFonts w:ascii="Arial" w:hAnsi="Arial" w:cs="Arial"/>
          <w:b/>
          <w:sz w:val="24"/>
          <w:szCs w:val="24"/>
          <w:lang w:val="es-ES"/>
        </w:rPr>
        <w:t xml:space="preserve"> #104-A, Tepic, Nayarit, Cel: 66-91-42-68-14 </w:t>
      </w:r>
      <w:hyperlink r:id="rId4" w:history="1">
        <w:r w:rsidRPr="0004734E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angie_avcg@hotmail.com</w:t>
        </w:r>
      </w:hyperlink>
    </w:p>
    <w:p w:rsidR="006F6E4D" w:rsidRDefault="00D154E2" w:rsidP="00E177E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154E2" w:rsidRDefault="00D154E2" w:rsidP="00E177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México se presenta buen desarrollo de tilapia roja (Red florida: Red jumbo) y huachinango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Lutjanus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peru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debido a la adaptabilidad y susceptibilidad que tienen al ser cultivadas en </w:t>
      </w:r>
      <w:r>
        <w:rPr>
          <w:rFonts w:ascii="Arial" w:hAnsi="Arial" w:cs="Arial"/>
          <w:sz w:val="24"/>
          <w:szCs w:val="24"/>
          <w:lang w:val="es-ES"/>
        </w:rPr>
        <w:t>acuicultura por su alta tasa de crecimiento y la capacidad de adaptación a diferentes sistemas de cría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Kubitza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2000 y FAO 2015). Color y apariencia son los elementos que intervienen en la elección de un alimento entre opciones disponibles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Diler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Dilek</w:t>
      </w:r>
      <w:proofErr w:type="spellEnd"/>
      <w:r>
        <w:rPr>
          <w:rFonts w:ascii="Arial" w:hAnsi="Arial" w:cs="Arial"/>
          <w:sz w:val="24"/>
          <w:szCs w:val="24"/>
          <w:lang w:val="es-ES"/>
        </w:rPr>
        <w:t>, 2002). El tono rojizo en los peces es un atributo distintivo que añade valor en el mercado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Takahashi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ES"/>
        </w:rPr>
        <w:t>et al.</w:t>
      </w:r>
      <w:r>
        <w:rPr>
          <w:rFonts w:ascii="Arial" w:hAnsi="Arial" w:cs="Arial"/>
          <w:sz w:val="24"/>
          <w:szCs w:val="24"/>
          <w:lang w:val="es-ES"/>
        </w:rPr>
        <w:t xml:space="preserve">, 2008). Por lo tanto, </w:t>
      </w:r>
      <w:r>
        <w:rPr>
          <w:rFonts w:ascii="Arial" w:hAnsi="Arial" w:cs="Arial"/>
          <w:sz w:val="24"/>
          <w:szCs w:val="24"/>
        </w:rPr>
        <w:t xml:space="preserve">los carotenoides constituyen uno de los pigmentos más importantes en peces, proporcionando coloración y como precursores de vitamina A </w:t>
      </w:r>
      <w:r>
        <w:rPr>
          <w:rFonts w:ascii="Arial" w:hAnsi="Arial" w:cs="Arial"/>
          <w:sz w:val="24"/>
          <w:szCs w:val="24"/>
          <w:lang w:val="es-ES"/>
        </w:rPr>
        <w:t>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Sefc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s-ES"/>
        </w:rPr>
        <w:t>et al.,</w:t>
      </w:r>
      <w:r>
        <w:rPr>
          <w:rFonts w:ascii="Arial" w:hAnsi="Arial" w:cs="Arial"/>
          <w:sz w:val="24"/>
          <w:szCs w:val="24"/>
          <w:lang w:val="es-ES"/>
        </w:rPr>
        <w:t xml:space="preserve"> 2014). Debido a esto es necesario realizar la evaluación de color y concentración de carotenoides en piel y músculo de tilapia roja (RF: RJ) y huachinango </w:t>
      </w:r>
      <w:r>
        <w:rPr>
          <w:rFonts w:ascii="Arial" w:hAnsi="Arial" w:cs="Arial"/>
          <w:i/>
          <w:sz w:val="24"/>
          <w:szCs w:val="24"/>
          <w:lang w:val="es-ES"/>
        </w:rPr>
        <w:t>(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Lutjanus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peru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>),</w:t>
      </w:r>
      <w:r>
        <w:rPr>
          <w:rFonts w:ascii="Arial" w:hAnsi="Arial" w:cs="Arial"/>
          <w:sz w:val="24"/>
          <w:szCs w:val="24"/>
          <w:lang w:val="es-ES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Mèxico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siguiendo las metodologías descritas por Arredondo, 2013; para la realización de análisis de color y contenido total de carotenoides en musculo piel y aletas, obtenido como resultado diferencias significativas entre en la piel y el musculo de ambas especies, observando como consecuencia del análisis de color que la mayor concentración de carotenoides totales se encuentran depositados en aletas con una concentración de 20-22 mg/kg, observando cómo se va degradando la pigmentación de la parte superior con una concentración entre 9 y 10 mg/kg, hasta la parte inferior con 1 y 2 mg/kg, en conclusión </w:t>
      </w:r>
      <w:r>
        <w:rPr>
          <w:rFonts w:ascii="Arial" w:hAnsi="Arial" w:cs="Arial"/>
          <w:sz w:val="24"/>
          <w:szCs w:val="24"/>
        </w:rPr>
        <w:t>en la piel de los peces, los pigmentos están localizados en unas células concretas de la dermis denominada cromatóforos. Estas células pueden ser oscuras por contener melaninas (melanóforos), amarillas (</w:t>
      </w:r>
      <w:proofErr w:type="spellStart"/>
      <w:r>
        <w:rPr>
          <w:rFonts w:ascii="Arial" w:hAnsi="Arial" w:cs="Arial"/>
          <w:sz w:val="24"/>
          <w:szCs w:val="24"/>
        </w:rPr>
        <w:t>xantóforos</w:t>
      </w:r>
      <w:proofErr w:type="spellEnd"/>
      <w:r>
        <w:rPr>
          <w:rFonts w:ascii="Arial" w:hAnsi="Arial" w:cs="Arial"/>
          <w:sz w:val="24"/>
          <w:szCs w:val="24"/>
        </w:rPr>
        <w:t>), rojas-naranjas (</w:t>
      </w:r>
      <w:proofErr w:type="spellStart"/>
      <w:r>
        <w:rPr>
          <w:rFonts w:ascii="Arial" w:hAnsi="Arial" w:cs="Arial"/>
          <w:sz w:val="24"/>
          <w:szCs w:val="24"/>
        </w:rPr>
        <w:t>eritróforos</w:t>
      </w:r>
      <w:proofErr w:type="spellEnd"/>
      <w:r>
        <w:rPr>
          <w:rFonts w:ascii="Arial" w:hAnsi="Arial" w:cs="Arial"/>
          <w:sz w:val="24"/>
          <w:szCs w:val="24"/>
        </w:rPr>
        <w:t>), blancas (</w:t>
      </w:r>
      <w:proofErr w:type="spellStart"/>
      <w:r>
        <w:rPr>
          <w:rFonts w:ascii="Arial" w:hAnsi="Arial" w:cs="Arial"/>
          <w:sz w:val="24"/>
          <w:szCs w:val="24"/>
        </w:rPr>
        <w:t>guanóforos</w:t>
      </w:r>
      <w:proofErr w:type="spellEnd"/>
      <w:r>
        <w:rPr>
          <w:rFonts w:ascii="Arial" w:hAnsi="Arial" w:cs="Arial"/>
          <w:sz w:val="24"/>
          <w:szCs w:val="24"/>
        </w:rPr>
        <w:t>), confirmando que estas especies depositan la mayoría de los pigmentos carotenoides ingeridos en la piel, y en las aletas caudal, pectoral, anal y pélvica.</w:t>
      </w:r>
    </w:p>
    <w:p w:rsidR="001D6F57" w:rsidRPr="001D6F57" w:rsidRDefault="001D6F57" w:rsidP="00E177E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23236" w:rsidRPr="001D6F57" w:rsidRDefault="00223236" w:rsidP="001D6F57">
      <w:pPr>
        <w:rPr>
          <w:rFonts w:ascii="Arial" w:hAnsi="Arial" w:cs="Arial"/>
          <w:sz w:val="24"/>
          <w:szCs w:val="24"/>
        </w:rPr>
      </w:pPr>
    </w:p>
    <w:sectPr w:rsidR="00223236" w:rsidRPr="001D6F57" w:rsidSect="0022323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6"/>
    <w:rsid w:val="0004734E"/>
    <w:rsid w:val="000B3C2D"/>
    <w:rsid w:val="000E762D"/>
    <w:rsid w:val="001D6F57"/>
    <w:rsid w:val="00223236"/>
    <w:rsid w:val="003B5CAD"/>
    <w:rsid w:val="00586519"/>
    <w:rsid w:val="006F6E4D"/>
    <w:rsid w:val="0088678A"/>
    <w:rsid w:val="008C3B03"/>
    <w:rsid w:val="00B203C3"/>
    <w:rsid w:val="00B37C39"/>
    <w:rsid w:val="00B41563"/>
    <w:rsid w:val="00D02AD1"/>
    <w:rsid w:val="00D154E2"/>
    <w:rsid w:val="00D41A73"/>
    <w:rsid w:val="00E0286B"/>
    <w:rsid w:val="00E177E3"/>
    <w:rsid w:val="00E43FD0"/>
    <w:rsid w:val="00E4747D"/>
    <w:rsid w:val="00F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B3CD"/>
  <w15:chartTrackingRefBased/>
  <w15:docId w15:val="{BD4C285A-A380-4703-B6BD-0E421DE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473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73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ie_avcg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VIANEY</dc:creator>
  <cp:keywords/>
  <dc:description/>
  <cp:lastModifiedBy>VIANEY</cp:lastModifiedBy>
  <cp:revision>6</cp:revision>
  <dcterms:created xsi:type="dcterms:W3CDTF">2017-08-25T01:50:00Z</dcterms:created>
  <dcterms:modified xsi:type="dcterms:W3CDTF">2017-08-25T20:27:00Z</dcterms:modified>
</cp:coreProperties>
</file>