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5E" w:rsidRPr="006C2E5E" w:rsidRDefault="006C2E5E" w:rsidP="00EB3F1B">
      <w:pPr>
        <w:tabs>
          <w:tab w:val="right" w:pos="9639"/>
        </w:tabs>
        <w:spacing w:after="0" w:line="240" w:lineRule="auto"/>
        <w:ind w:right="49"/>
        <w:jc w:val="center"/>
        <w:rPr>
          <w:rFonts w:ascii="Arial" w:hAnsi="Arial" w:cs="Arial"/>
          <w:b/>
          <w:sz w:val="24"/>
          <w:szCs w:val="14"/>
        </w:rPr>
      </w:pPr>
      <w:r w:rsidRPr="006C2E5E">
        <w:rPr>
          <w:rFonts w:ascii="Arial" w:hAnsi="Arial" w:cs="Arial"/>
          <w:b/>
          <w:sz w:val="24"/>
          <w:szCs w:val="14"/>
        </w:rPr>
        <w:t>Evaluación de color y contenido de carotenoides en juveniles de camarón</w:t>
      </w:r>
      <w:r w:rsidR="00657D0B">
        <w:rPr>
          <w:rFonts w:ascii="Arial" w:hAnsi="Arial" w:cs="Arial"/>
          <w:b/>
          <w:sz w:val="24"/>
          <w:szCs w:val="14"/>
        </w:rPr>
        <w:t xml:space="preserve"> de</w:t>
      </w:r>
      <w:r w:rsidRPr="006C2E5E">
        <w:rPr>
          <w:rFonts w:ascii="Arial" w:hAnsi="Arial" w:cs="Arial"/>
          <w:b/>
          <w:sz w:val="24"/>
          <w:szCs w:val="14"/>
        </w:rPr>
        <w:t xml:space="preserve"> Nayarit</w:t>
      </w:r>
      <w:r w:rsidR="00EB3F1B">
        <w:rPr>
          <w:rFonts w:ascii="Arial" w:hAnsi="Arial" w:cs="Arial"/>
          <w:b/>
          <w:sz w:val="24"/>
          <w:szCs w:val="14"/>
        </w:rPr>
        <w:t xml:space="preserve"> y Sinaloa, México</w:t>
      </w:r>
    </w:p>
    <w:p w:rsidR="006C2E5E" w:rsidRDefault="006C2E5E" w:rsidP="00EB3F1B">
      <w:pPr>
        <w:ind w:right="49"/>
        <w:jc w:val="center"/>
        <w:rPr>
          <w:rFonts w:ascii="Arial" w:eastAsia="Calibri" w:hAnsi="Arial" w:cs="Arial"/>
          <w:b/>
          <w:sz w:val="24"/>
          <w:szCs w:val="24"/>
        </w:rPr>
      </w:pPr>
    </w:p>
    <w:p w:rsidR="0020011A" w:rsidRDefault="0020011A" w:rsidP="00EB3F1B">
      <w:pPr>
        <w:ind w:right="49"/>
        <w:jc w:val="center"/>
        <w:rPr>
          <w:rFonts w:ascii="Arial" w:eastAsia="Calibri" w:hAnsi="Arial" w:cs="Arial"/>
          <w:b/>
          <w:sz w:val="24"/>
          <w:szCs w:val="24"/>
        </w:rPr>
      </w:pPr>
      <w:r w:rsidRPr="0020011A">
        <w:rPr>
          <w:rFonts w:ascii="Arial" w:eastAsia="Calibri" w:hAnsi="Arial" w:cs="Arial"/>
          <w:b/>
          <w:sz w:val="24"/>
          <w:szCs w:val="24"/>
        </w:rPr>
        <w:t>Bernal</w:t>
      </w:r>
      <w:r w:rsidR="00B874B8">
        <w:rPr>
          <w:rFonts w:ascii="Arial" w:eastAsia="Calibri" w:hAnsi="Arial" w:cs="Arial"/>
          <w:b/>
          <w:sz w:val="24"/>
          <w:szCs w:val="24"/>
        </w:rPr>
        <w:t>-</w:t>
      </w:r>
      <w:r w:rsidRPr="0020011A">
        <w:rPr>
          <w:rFonts w:ascii="Arial" w:eastAsia="Calibri" w:hAnsi="Arial" w:cs="Arial"/>
          <w:b/>
          <w:sz w:val="24"/>
          <w:szCs w:val="24"/>
        </w:rPr>
        <w:t>Rodríguez, C. E.</w:t>
      </w:r>
      <w:r w:rsidRPr="0020011A">
        <w:rPr>
          <w:rFonts w:ascii="Arial" w:eastAsia="Calibri" w:hAnsi="Arial" w:cs="Arial"/>
          <w:b/>
          <w:sz w:val="24"/>
          <w:szCs w:val="24"/>
          <w:vertAlign w:val="superscript"/>
        </w:rPr>
        <w:t>1</w:t>
      </w:r>
      <w:r w:rsidRPr="0020011A">
        <w:rPr>
          <w:rFonts w:ascii="Arial" w:eastAsia="Calibri" w:hAnsi="Arial" w:cs="Arial"/>
          <w:b/>
          <w:sz w:val="24"/>
          <w:szCs w:val="24"/>
        </w:rPr>
        <w:t>,</w:t>
      </w:r>
      <w:r>
        <w:rPr>
          <w:rFonts w:ascii="Arial" w:eastAsia="Calibri" w:hAnsi="Arial" w:cs="Arial"/>
          <w:b/>
          <w:sz w:val="24"/>
          <w:szCs w:val="24"/>
        </w:rPr>
        <w:t xml:space="preserve"> </w:t>
      </w:r>
      <w:r w:rsidRPr="0020011A">
        <w:rPr>
          <w:rFonts w:ascii="Arial" w:eastAsia="Calibri" w:hAnsi="Arial" w:cs="Arial"/>
          <w:b/>
          <w:sz w:val="24"/>
          <w:szCs w:val="24"/>
        </w:rPr>
        <w:t>Carvajal</w:t>
      </w:r>
      <w:r w:rsidR="00B874B8">
        <w:rPr>
          <w:rFonts w:ascii="Arial" w:eastAsia="Calibri" w:hAnsi="Arial" w:cs="Arial"/>
          <w:b/>
          <w:sz w:val="24"/>
          <w:szCs w:val="24"/>
        </w:rPr>
        <w:t>-</w:t>
      </w:r>
      <w:r w:rsidRPr="0020011A">
        <w:rPr>
          <w:rFonts w:ascii="Arial" w:eastAsia="Calibri" w:hAnsi="Arial" w:cs="Arial"/>
          <w:b/>
          <w:sz w:val="24"/>
          <w:szCs w:val="24"/>
        </w:rPr>
        <w:t>García, A. V</w:t>
      </w:r>
      <w:r w:rsidRPr="0020011A">
        <w:rPr>
          <w:rFonts w:ascii="Arial" w:eastAsia="Calibri" w:hAnsi="Arial" w:cs="Arial"/>
          <w:b/>
          <w:sz w:val="24"/>
          <w:szCs w:val="24"/>
          <w:vertAlign w:val="superscript"/>
        </w:rPr>
        <w:t>1</w:t>
      </w:r>
      <w:r>
        <w:rPr>
          <w:rFonts w:ascii="Arial" w:eastAsia="Calibri" w:hAnsi="Arial" w:cs="Arial"/>
          <w:b/>
          <w:sz w:val="24"/>
          <w:szCs w:val="24"/>
        </w:rPr>
        <w:t xml:space="preserve">, </w:t>
      </w:r>
      <w:r w:rsidRPr="0020011A">
        <w:rPr>
          <w:rFonts w:ascii="Arial" w:eastAsia="Calibri" w:hAnsi="Arial" w:cs="Arial"/>
          <w:b/>
          <w:sz w:val="24"/>
          <w:szCs w:val="24"/>
        </w:rPr>
        <w:t>Ponce</w:t>
      </w:r>
      <w:r w:rsidR="00B874B8">
        <w:rPr>
          <w:rFonts w:ascii="Arial" w:eastAsia="Calibri" w:hAnsi="Arial" w:cs="Arial"/>
          <w:b/>
          <w:sz w:val="24"/>
          <w:szCs w:val="24"/>
        </w:rPr>
        <w:t>-</w:t>
      </w:r>
      <w:r w:rsidRPr="0020011A">
        <w:rPr>
          <w:rFonts w:ascii="Arial" w:eastAsia="Calibri" w:hAnsi="Arial" w:cs="Arial"/>
          <w:b/>
          <w:sz w:val="24"/>
          <w:szCs w:val="24"/>
        </w:rPr>
        <w:t>Palafox, J. T.</w:t>
      </w:r>
      <w:r w:rsidRPr="0020011A">
        <w:rPr>
          <w:rFonts w:ascii="Arial" w:eastAsia="Calibri" w:hAnsi="Arial" w:cs="Arial"/>
          <w:b/>
          <w:sz w:val="24"/>
          <w:szCs w:val="24"/>
          <w:vertAlign w:val="superscript"/>
        </w:rPr>
        <w:t>1</w:t>
      </w:r>
      <w:r w:rsidRPr="0020011A">
        <w:rPr>
          <w:rFonts w:ascii="Arial" w:eastAsia="Calibri" w:hAnsi="Arial" w:cs="Arial"/>
          <w:b/>
          <w:sz w:val="24"/>
          <w:szCs w:val="24"/>
        </w:rPr>
        <w:t xml:space="preserve">, </w:t>
      </w:r>
      <w:proofErr w:type="spellStart"/>
      <w:r w:rsidRPr="0020011A">
        <w:rPr>
          <w:rFonts w:ascii="Arial" w:eastAsia="Calibri" w:hAnsi="Arial" w:cs="Arial"/>
          <w:b/>
          <w:sz w:val="24"/>
          <w:szCs w:val="24"/>
        </w:rPr>
        <w:t>Spanopoulos</w:t>
      </w:r>
      <w:proofErr w:type="spellEnd"/>
      <w:r w:rsidR="00B874B8">
        <w:rPr>
          <w:rFonts w:ascii="Arial" w:eastAsia="Calibri" w:hAnsi="Arial" w:cs="Arial"/>
          <w:b/>
          <w:sz w:val="24"/>
          <w:szCs w:val="24"/>
        </w:rPr>
        <w:t>-H</w:t>
      </w:r>
      <w:r w:rsidRPr="0020011A">
        <w:rPr>
          <w:rFonts w:ascii="Arial" w:eastAsia="Calibri" w:hAnsi="Arial" w:cs="Arial"/>
          <w:b/>
          <w:sz w:val="24"/>
          <w:szCs w:val="24"/>
        </w:rPr>
        <w:t>ernández, M.</w:t>
      </w:r>
      <w:r w:rsidRPr="0020011A">
        <w:rPr>
          <w:rFonts w:ascii="Arial" w:eastAsia="Calibri" w:hAnsi="Arial" w:cs="Arial"/>
          <w:b/>
          <w:sz w:val="24"/>
          <w:szCs w:val="24"/>
          <w:vertAlign w:val="superscript"/>
        </w:rPr>
        <w:t>2</w:t>
      </w:r>
      <w:r w:rsidRPr="0020011A">
        <w:rPr>
          <w:rFonts w:ascii="Arial" w:eastAsia="Calibri" w:hAnsi="Arial" w:cs="Arial"/>
          <w:b/>
          <w:sz w:val="24"/>
          <w:szCs w:val="24"/>
        </w:rPr>
        <w:t>, Castillo</w:t>
      </w:r>
      <w:r w:rsidR="00B874B8">
        <w:rPr>
          <w:rFonts w:ascii="Arial" w:eastAsia="Calibri" w:hAnsi="Arial" w:cs="Arial"/>
          <w:b/>
          <w:sz w:val="24"/>
          <w:szCs w:val="24"/>
        </w:rPr>
        <w:t>-</w:t>
      </w:r>
      <w:proofErr w:type="spellStart"/>
      <w:r w:rsidRPr="0020011A">
        <w:rPr>
          <w:rFonts w:ascii="Arial" w:eastAsia="Calibri" w:hAnsi="Arial" w:cs="Arial"/>
          <w:b/>
          <w:sz w:val="24"/>
          <w:szCs w:val="24"/>
        </w:rPr>
        <w:t>Vargasmachuca</w:t>
      </w:r>
      <w:proofErr w:type="spellEnd"/>
      <w:r w:rsidRPr="0020011A">
        <w:rPr>
          <w:rFonts w:ascii="Arial" w:eastAsia="Calibri" w:hAnsi="Arial" w:cs="Arial"/>
          <w:b/>
          <w:sz w:val="24"/>
          <w:szCs w:val="24"/>
        </w:rPr>
        <w:t>, S. G.</w:t>
      </w:r>
      <w:r w:rsidRPr="0020011A">
        <w:rPr>
          <w:rFonts w:ascii="Arial" w:eastAsia="Calibri" w:hAnsi="Arial" w:cs="Arial"/>
          <w:b/>
          <w:sz w:val="24"/>
          <w:szCs w:val="24"/>
          <w:vertAlign w:val="superscript"/>
        </w:rPr>
        <w:t>1</w:t>
      </w:r>
      <w:r w:rsidR="00B874B8">
        <w:rPr>
          <w:rFonts w:ascii="Arial" w:eastAsia="Calibri" w:hAnsi="Arial" w:cs="Arial"/>
          <w:b/>
          <w:sz w:val="24"/>
          <w:szCs w:val="24"/>
        </w:rPr>
        <w:t xml:space="preserve"> y </w:t>
      </w:r>
      <w:r w:rsidRPr="0020011A">
        <w:rPr>
          <w:rFonts w:ascii="Arial" w:eastAsia="Calibri" w:hAnsi="Arial" w:cs="Arial"/>
          <w:b/>
          <w:sz w:val="24"/>
          <w:szCs w:val="24"/>
        </w:rPr>
        <w:t>Arredondo-Figueroa</w:t>
      </w:r>
      <w:r w:rsidR="00B874B8">
        <w:rPr>
          <w:rFonts w:ascii="Arial" w:eastAsia="Calibri" w:hAnsi="Arial" w:cs="Arial"/>
          <w:b/>
          <w:sz w:val="24"/>
          <w:szCs w:val="24"/>
        </w:rPr>
        <w:t xml:space="preserve"> J.L</w:t>
      </w:r>
      <w:r>
        <w:rPr>
          <w:rFonts w:ascii="Arial" w:eastAsia="Calibri" w:hAnsi="Arial" w:cs="Arial"/>
          <w:b/>
          <w:sz w:val="24"/>
          <w:szCs w:val="24"/>
          <w:vertAlign w:val="superscript"/>
        </w:rPr>
        <w:t>3</w:t>
      </w:r>
      <w:r>
        <w:rPr>
          <w:rFonts w:ascii="Arial" w:eastAsia="Calibri" w:hAnsi="Arial" w:cs="Arial"/>
          <w:b/>
          <w:sz w:val="24"/>
          <w:szCs w:val="24"/>
        </w:rPr>
        <w:t>.</w:t>
      </w:r>
    </w:p>
    <w:p w:rsidR="00DE4AA5" w:rsidRDefault="0020011A" w:rsidP="00EB3F1B">
      <w:pPr>
        <w:spacing w:after="0" w:line="240" w:lineRule="auto"/>
        <w:ind w:right="49"/>
        <w:jc w:val="both"/>
        <w:rPr>
          <w:rFonts w:ascii="Arial" w:eastAsia="Calibri" w:hAnsi="Arial" w:cs="Arial"/>
          <w:sz w:val="24"/>
          <w:szCs w:val="24"/>
          <w:lang w:val="es-ES_tradnl"/>
        </w:rPr>
      </w:pPr>
      <w:r w:rsidRPr="0020011A">
        <w:rPr>
          <w:rFonts w:ascii="Arial" w:eastAsia="Calibri" w:hAnsi="Arial" w:cs="Arial"/>
          <w:sz w:val="24"/>
          <w:szCs w:val="24"/>
          <w:vertAlign w:val="superscript"/>
        </w:rPr>
        <w:br/>
        <w:t>1</w:t>
      </w:r>
      <w:r w:rsidRPr="0020011A">
        <w:rPr>
          <w:rFonts w:ascii="Arial" w:eastAsia="Calibri" w:hAnsi="Arial" w:cs="Arial"/>
          <w:sz w:val="24"/>
          <w:szCs w:val="24"/>
          <w:lang w:val="es-ES_tradnl"/>
        </w:rPr>
        <w:t>Universidad Autónoma de Nayarit, Laboratorio de Bioingeniería Acuícola, Escuela Nacional</w:t>
      </w:r>
      <w:r w:rsidR="00DE4AA5">
        <w:rPr>
          <w:rFonts w:ascii="Arial" w:eastAsia="Calibri" w:hAnsi="Arial" w:cs="Arial"/>
          <w:sz w:val="24"/>
          <w:szCs w:val="24"/>
          <w:lang w:val="es-ES_tradnl"/>
        </w:rPr>
        <w:t xml:space="preserve"> </w:t>
      </w:r>
      <w:r w:rsidRPr="0020011A">
        <w:rPr>
          <w:rFonts w:ascii="Arial" w:eastAsia="Calibri" w:hAnsi="Arial" w:cs="Arial"/>
          <w:sz w:val="24"/>
          <w:szCs w:val="24"/>
          <w:lang w:val="es-ES_tradnl"/>
        </w:rPr>
        <w:t xml:space="preserve">de Ingeniería Pesquera, </w:t>
      </w:r>
      <w:r w:rsidRPr="0020011A">
        <w:rPr>
          <w:rFonts w:ascii="Arial" w:eastAsia="Calibri" w:hAnsi="Arial" w:cs="Arial"/>
          <w:sz w:val="24"/>
          <w:szCs w:val="24"/>
        </w:rPr>
        <w:t xml:space="preserve">Bahía de </w:t>
      </w:r>
      <w:proofErr w:type="spellStart"/>
      <w:r w:rsidRPr="0020011A">
        <w:rPr>
          <w:rFonts w:ascii="Arial" w:eastAsia="Calibri" w:hAnsi="Arial" w:cs="Arial"/>
          <w:sz w:val="24"/>
          <w:szCs w:val="24"/>
        </w:rPr>
        <w:t>Matanchén</w:t>
      </w:r>
      <w:proofErr w:type="spellEnd"/>
      <w:r w:rsidRPr="0020011A">
        <w:rPr>
          <w:rFonts w:ascii="Arial" w:eastAsia="Calibri" w:hAnsi="Arial" w:cs="Arial"/>
          <w:sz w:val="24"/>
          <w:szCs w:val="24"/>
        </w:rPr>
        <w:t xml:space="preserve"> Km. 12, Carretera a los Cocos</w:t>
      </w:r>
      <w:r w:rsidR="00DE4AA5">
        <w:rPr>
          <w:rFonts w:ascii="Arial" w:eastAsia="Calibri" w:hAnsi="Arial" w:cs="Arial"/>
          <w:sz w:val="24"/>
          <w:szCs w:val="24"/>
          <w:lang w:val="es-ES_tradnl"/>
        </w:rPr>
        <w:t xml:space="preserve">, San </w:t>
      </w:r>
      <w:r w:rsidR="00EB3F1B">
        <w:rPr>
          <w:rFonts w:ascii="Arial" w:eastAsia="Calibri" w:hAnsi="Arial" w:cs="Arial"/>
          <w:sz w:val="24"/>
          <w:szCs w:val="24"/>
          <w:lang w:val="es-ES_tradnl"/>
        </w:rPr>
        <w:t>B</w:t>
      </w:r>
      <w:r w:rsidR="00DE4AA5">
        <w:rPr>
          <w:rFonts w:ascii="Arial" w:eastAsia="Calibri" w:hAnsi="Arial" w:cs="Arial"/>
          <w:sz w:val="24"/>
          <w:szCs w:val="24"/>
          <w:lang w:val="es-ES_tradnl"/>
        </w:rPr>
        <w:t xml:space="preserve">las, </w:t>
      </w:r>
      <w:r w:rsidRPr="0020011A">
        <w:rPr>
          <w:rFonts w:ascii="Arial" w:eastAsia="Calibri" w:hAnsi="Arial" w:cs="Arial"/>
          <w:sz w:val="24"/>
          <w:szCs w:val="24"/>
          <w:lang w:val="es-ES_tradnl"/>
        </w:rPr>
        <w:t>Nayarit, México. C. P. 63740.</w:t>
      </w:r>
    </w:p>
    <w:p w:rsidR="0020011A" w:rsidRPr="00DE4AA5" w:rsidRDefault="0020011A" w:rsidP="00EB3F1B">
      <w:pPr>
        <w:spacing w:after="0" w:line="240" w:lineRule="auto"/>
        <w:ind w:right="49"/>
        <w:jc w:val="both"/>
        <w:rPr>
          <w:rFonts w:ascii="Arial" w:eastAsia="Calibri" w:hAnsi="Arial" w:cs="Arial"/>
          <w:sz w:val="24"/>
          <w:szCs w:val="24"/>
          <w:lang w:val="es-ES_tradnl"/>
        </w:rPr>
      </w:pPr>
      <w:r w:rsidRPr="0020011A">
        <w:rPr>
          <w:rFonts w:ascii="Arial" w:eastAsia="Calibri" w:hAnsi="Arial" w:cs="Arial"/>
          <w:sz w:val="24"/>
          <w:szCs w:val="24"/>
          <w:vertAlign w:val="superscript"/>
        </w:rPr>
        <w:t>2</w:t>
      </w:r>
      <w:r w:rsidRPr="0020011A">
        <w:rPr>
          <w:rFonts w:ascii="Arial" w:eastAsia="Calibri" w:hAnsi="Arial" w:cs="Arial"/>
          <w:sz w:val="24"/>
          <w:szCs w:val="24"/>
          <w:lang w:val="es-ES"/>
        </w:rPr>
        <w:t>Instituto Tecnológico De Mazatlán, Calle Corsario 1 No. 203, Colonia Urías. Mazatlán, Sinaloa. México. C. P. 82090</w:t>
      </w:r>
    </w:p>
    <w:p w:rsidR="0020011A" w:rsidRPr="0020011A" w:rsidRDefault="0020011A" w:rsidP="00EB3F1B">
      <w:pPr>
        <w:spacing w:after="0" w:line="240" w:lineRule="auto"/>
        <w:ind w:right="49"/>
        <w:jc w:val="both"/>
        <w:rPr>
          <w:rFonts w:ascii="Arial" w:eastAsia="Calibri" w:hAnsi="Arial" w:cs="Arial"/>
          <w:sz w:val="24"/>
          <w:szCs w:val="24"/>
        </w:rPr>
      </w:pPr>
      <w:r w:rsidRPr="0020011A">
        <w:rPr>
          <w:rFonts w:ascii="Arial" w:eastAsia="Calibri" w:hAnsi="Arial" w:cs="Arial"/>
          <w:sz w:val="24"/>
          <w:szCs w:val="24"/>
          <w:vertAlign w:val="superscript"/>
        </w:rPr>
        <w:t>3</w:t>
      </w:r>
      <w:r w:rsidRPr="0020011A">
        <w:rPr>
          <w:rFonts w:ascii="Arial" w:eastAsia="Calibri" w:hAnsi="Arial" w:cs="Arial"/>
          <w:sz w:val="24"/>
          <w:szCs w:val="24"/>
        </w:rPr>
        <w:t>Centro de Ciencias Agropecuarias, Universidad Autónoma de Aguascalientes, Jesús María, Aguascalientes, México</w:t>
      </w:r>
      <w:r w:rsidR="00EB3F1B">
        <w:rPr>
          <w:rFonts w:ascii="Arial" w:eastAsia="Calibri" w:hAnsi="Arial" w:cs="Arial"/>
          <w:sz w:val="24"/>
          <w:szCs w:val="24"/>
        </w:rPr>
        <w:t>. C.P. 20920</w:t>
      </w:r>
    </w:p>
    <w:p w:rsidR="0020011A" w:rsidRPr="0020011A" w:rsidRDefault="0020011A" w:rsidP="00EB3F1B">
      <w:pPr>
        <w:ind w:right="49"/>
        <w:rPr>
          <w:rFonts w:ascii="Arial" w:eastAsia="Calibri" w:hAnsi="Arial" w:cs="Arial"/>
          <w:sz w:val="24"/>
          <w:szCs w:val="24"/>
        </w:rPr>
      </w:pPr>
    </w:p>
    <w:p w:rsidR="0020011A" w:rsidRDefault="0020011A" w:rsidP="00EB3F1B">
      <w:pPr>
        <w:ind w:right="49"/>
        <w:jc w:val="center"/>
        <w:rPr>
          <w:rFonts w:ascii="Arial" w:eastAsia="Calibri" w:hAnsi="Arial" w:cs="Arial"/>
          <w:sz w:val="24"/>
          <w:szCs w:val="24"/>
          <w:lang w:val="es-ES"/>
        </w:rPr>
      </w:pPr>
      <w:r>
        <w:rPr>
          <w:rFonts w:ascii="Arial" w:eastAsia="Calibri" w:hAnsi="Arial" w:cs="Arial"/>
          <w:sz w:val="24"/>
          <w:szCs w:val="24"/>
          <w:lang w:val="es-ES"/>
        </w:rPr>
        <w:t>Carlos Enrique Bernal Rodríguez</w:t>
      </w:r>
      <w:r w:rsidRPr="0020011A">
        <w:rPr>
          <w:rFonts w:ascii="Arial" w:eastAsia="Calibri" w:hAnsi="Arial" w:cs="Arial"/>
          <w:sz w:val="24"/>
          <w:szCs w:val="24"/>
          <w:lang w:val="es-ES"/>
        </w:rPr>
        <w:t>, Domicilio</w:t>
      </w:r>
      <w:r>
        <w:rPr>
          <w:rFonts w:ascii="Arial" w:eastAsia="Calibri" w:hAnsi="Arial" w:cs="Arial"/>
          <w:sz w:val="24"/>
          <w:szCs w:val="24"/>
          <w:lang w:val="es-ES"/>
        </w:rPr>
        <w:t>:</w:t>
      </w:r>
      <w:r w:rsidRPr="0020011A">
        <w:rPr>
          <w:rFonts w:ascii="Arial" w:eastAsia="Calibri" w:hAnsi="Arial" w:cs="Arial"/>
          <w:sz w:val="24"/>
          <w:szCs w:val="24"/>
          <w:lang w:val="es-ES"/>
        </w:rPr>
        <w:t xml:space="preserve"> </w:t>
      </w:r>
      <w:proofErr w:type="spellStart"/>
      <w:r w:rsidRPr="0020011A">
        <w:rPr>
          <w:rFonts w:ascii="Arial" w:eastAsia="Calibri" w:hAnsi="Arial" w:cs="Arial"/>
          <w:sz w:val="24"/>
          <w:szCs w:val="24"/>
          <w:lang w:val="es-ES"/>
        </w:rPr>
        <w:t>Fracc</w:t>
      </w:r>
      <w:proofErr w:type="spellEnd"/>
      <w:r w:rsidRPr="0020011A">
        <w:rPr>
          <w:rFonts w:ascii="Arial" w:eastAsia="Calibri" w:hAnsi="Arial" w:cs="Arial"/>
          <w:sz w:val="24"/>
          <w:szCs w:val="24"/>
          <w:lang w:val="es-ES"/>
        </w:rPr>
        <w:t xml:space="preserve">. </w:t>
      </w:r>
      <w:r>
        <w:rPr>
          <w:rFonts w:ascii="Arial" w:eastAsia="Calibri" w:hAnsi="Arial" w:cs="Arial"/>
          <w:sz w:val="24"/>
          <w:szCs w:val="24"/>
          <w:lang w:val="es-ES"/>
        </w:rPr>
        <w:t xml:space="preserve">Colinas de </w:t>
      </w:r>
      <w:proofErr w:type="spellStart"/>
      <w:r>
        <w:rPr>
          <w:rFonts w:ascii="Arial" w:eastAsia="Calibri" w:hAnsi="Arial" w:cs="Arial"/>
          <w:sz w:val="24"/>
          <w:szCs w:val="24"/>
          <w:lang w:val="es-ES"/>
        </w:rPr>
        <w:t>Xalisco</w:t>
      </w:r>
      <w:proofErr w:type="spellEnd"/>
      <w:r w:rsidRPr="0020011A">
        <w:rPr>
          <w:rFonts w:ascii="Arial" w:eastAsia="Calibri" w:hAnsi="Arial" w:cs="Arial"/>
          <w:sz w:val="24"/>
          <w:szCs w:val="24"/>
          <w:lang w:val="es-ES"/>
        </w:rPr>
        <w:t xml:space="preserve">, calle </w:t>
      </w:r>
      <w:r>
        <w:rPr>
          <w:rFonts w:ascii="Arial" w:eastAsia="Calibri" w:hAnsi="Arial" w:cs="Arial"/>
          <w:sz w:val="24"/>
          <w:szCs w:val="24"/>
          <w:lang w:val="es-ES"/>
        </w:rPr>
        <w:t>paseo de la luna #14</w:t>
      </w:r>
      <w:r w:rsidRPr="0020011A">
        <w:rPr>
          <w:rFonts w:ascii="Arial" w:eastAsia="Calibri" w:hAnsi="Arial" w:cs="Arial"/>
          <w:sz w:val="24"/>
          <w:szCs w:val="24"/>
          <w:lang w:val="es-ES"/>
        </w:rPr>
        <w:t xml:space="preserve">, </w:t>
      </w:r>
      <w:proofErr w:type="spellStart"/>
      <w:r>
        <w:rPr>
          <w:rFonts w:ascii="Arial" w:eastAsia="Calibri" w:hAnsi="Arial" w:cs="Arial"/>
          <w:sz w:val="24"/>
          <w:szCs w:val="24"/>
          <w:lang w:val="es-ES"/>
        </w:rPr>
        <w:t>Xalisco</w:t>
      </w:r>
      <w:proofErr w:type="spellEnd"/>
      <w:r w:rsidRPr="0020011A">
        <w:rPr>
          <w:rFonts w:ascii="Arial" w:eastAsia="Calibri" w:hAnsi="Arial" w:cs="Arial"/>
          <w:sz w:val="24"/>
          <w:szCs w:val="24"/>
          <w:lang w:val="es-ES"/>
        </w:rPr>
        <w:t xml:space="preserve">, Nayarit, </w:t>
      </w:r>
      <w:proofErr w:type="spellStart"/>
      <w:r w:rsidRPr="0020011A">
        <w:rPr>
          <w:rFonts w:ascii="Arial" w:eastAsia="Calibri" w:hAnsi="Arial" w:cs="Arial"/>
          <w:sz w:val="24"/>
          <w:szCs w:val="24"/>
          <w:lang w:val="es-ES"/>
        </w:rPr>
        <w:t>Cel</w:t>
      </w:r>
      <w:proofErr w:type="spellEnd"/>
      <w:r w:rsidRPr="0020011A">
        <w:rPr>
          <w:rFonts w:ascii="Arial" w:eastAsia="Calibri" w:hAnsi="Arial" w:cs="Arial"/>
          <w:sz w:val="24"/>
          <w:szCs w:val="24"/>
          <w:lang w:val="es-ES"/>
        </w:rPr>
        <w:t xml:space="preserve">: </w:t>
      </w:r>
      <w:r>
        <w:rPr>
          <w:rFonts w:ascii="Arial" w:eastAsia="Calibri" w:hAnsi="Arial" w:cs="Arial"/>
          <w:sz w:val="24"/>
          <w:szCs w:val="24"/>
          <w:lang w:val="es-ES"/>
        </w:rPr>
        <w:t>311-243-2566</w:t>
      </w:r>
      <w:r w:rsidR="00EB3F1B">
        <w:rPr>
          <w:rFonts w:ascii="Arial" w:eastAsia="Calibri" w:hAnsi="Arial" w:cs="Arial"/>
          <w:sz w:val="24"/>
          <w:szCs w:val="24"/>
          <w:lang w:val="es-ES"/>
        </w:rPr>
        <w:t>.</w:t>
      </w:r>
      <w:r>
        <w:rPr>
          <w:rFonts w:ascii="Arial" w:eastAsia="Calibri" w:hAnsi="Arial" w:cs="Arial"/>
          <w:sz w:val="24"/>
          <w:szCs w:val="24"/>
          <w:lang w:val="es-ES"/>
        </w:rPr>
        <w:t xml:space="preserve"> </w:t>
      </w:r>
    </w:p>
    <w:p w:rsidR="0020011A" w:rsidRPr="00B874B8" w:rsidRDefault="0020011A" w:rsidP="00EB3F1B">
      <w:pPr>
        <w:ind w:right="49"/>
        <w:jc w:val="center"/>
        <w:rPr>
          <w:rFonts w:ascii="Arial" w:eastAsia="Calibri" w:hAnsi="Arial" w:cs="Arial"/>
          <w:sz w:val="24"/>
          <w:szCs w:val="24"/>
          <w:lang w:val="en-US"/>
        </w:rPr>
      </w:pPr>
      <w:r w:rsidRPr="00B874B8">
        <w:rPr>
          <w:rFonts w:ascii="Arial" w:eastAsia="Calibri" w:hAnsi="Arial" w:cs="Arial"/>
          <w:sz w:val="24"/>
          <w:szCs w:val="24"/>
          <w:lang w:val="en-US"/>
        </w:rPr>
        <w:t xml:space="preserve">Email: </w:t>
      </w:r>
      <w:hyperlink r:id="rId4" w:history="1">
        <w:r w:rsidR="00B874B8" w:rsidRPr="00B874B8">
          <w:rPr>
            <w:rStyle w:val="Hipervnculo"/>
            <w:rFonts w:ascii="Arial" w:eastAsia="Calibri" w:hAnsi="Arial" w:cs="Arial"/>
            <w:sz w:val="24"/>
            <w:szCs w:val="24"/>
            <w:lang w:val="en-US"/>
          </w:rPr>
          <w:t>ce_bernal@hotmail.com</w:t>
        </w:r>
      </w:hyperlink>
    </w:p>
    <w:p w:rsidR="00B874B8" w:rsidRDefault="00B874B8" w:rsidP="00EB3F1B">
      <w:pPr>
        <w:kinsoku w:val="0"/>
        <w:overflowPunct w:val="0"/>
        <w:autoSpaceDE w:val="0"/>
        <w:autoSpaceDN w:val="0"/>
        <w:adjustRightInd w:val="0"/>
        <w:spacing w:after="0" w:line="240" w:lineRule="auto"/>
        <w:ind w:right="49"/>
        <w:jc w:val="both"/>
        <w:rPr>
          <w:rFonts w:ascii="Arial" w:eastAsia="Times New Roman" w:hAnsi="Arial" w:cs="Arial"/>
          <w:b/>
          <w:spacing w:val="3"/>
          <w:w w:val="95"/>
          <w:sz w:val="24"/>
          <w:szCs w:val="24"/>
          <w:lang w:val="en-US" w:eastAsia="es-MX"/>
        </w:rPr>
      </w:pPr>
      <w:proofErr w:type="spellStart"/>
      <w:r w:rsidRPr="00B874B8">
        <w:rPr>
          <w:rFonts w:ascii="Arial" w:eastAsia="Times New Roman" w:hAnsi="Arial" w:cs="Arial"/>
          <w:b/>
          <w:spacing w:val="3"/>
          <w:w w:val="95"/>
          <w:sz w:val="24"/>
          <w:szCs w:val="24"/>
          <w:lang w:val="en-US" w:eastAsia="es-MX"/>
        </w:rPr>
        <w:t>Resumen</w:t>
      </w:r>
      <w:proofErr w:type="spellEnd"/>
      <w:r w:rsidRPr="00B874B8">
        <w:rPr>
          <w:rFonts w:ascii="Arial" w:eastAsia="Times New Roman" w:hAnsi="Arial" w:cs="Arial"/>
          <w:b/>
          <w:spacing w:val="3"/>
          <w:w w:val="95"/>
          <w:sz w:val="24"/>
          <w:szCs w:val="24"/>
          <w:lang w:val="en-US" w:eastAsia="es-MX"/>
        </w:rPr>
        <w:t>:</w:t>
      </w:r>
    </w:p>
    <w:p w:rsidR="00DE4AA5" w:rsidRPr="00B874B8" w:rsidRDefault="00DE4AA5" w:rsidP="00EB3F1B">
      <w:pPr>
        <w:kinsoku w:val="0"/>
        <w:overflowPunct w:val="0"/>
        <w:autoSpaceDE w:val="0"/>
        <w:autoSpaceDN w:val="0"/>
        <w:adjustRightInd w:val="0"/>
        <w:spacing w:after="0" w:line="240" w:lineRule="auto"/>
        <w:ind w:right="49"/>
        <w:jc w:val="both"/>
        <w:rPr>
          <w:rFonts w:ascii="Arial" w:eastAsia="Times New Roman" w:hAnsi="Arial" w:cs="Arial"/>
          <w:b/>
          <w:spacing w:val="3"/>
          <w:w w:val="95"/>
          <w:sz w:val="24"/>
          <w:szCs w:val="24"/>
          <w:lang w:val="en-US" w:eastAsia="es-MX"/>
        </w:rPr>
      </w:pPr>
    </w:p>
    <w:p w:rsidR="00DE4AA5" w:rsidRPr="00DE4AA5" w:rsidRDefault="00DE4AA5" w:rsidP="00EB3F1B">
      <w:pPr>
        <w:spacing w:after="0" w:line="240" w:lineRule="auto"/>
        <w:ind w:right="49"/>
        <w:jc w:val="both"/>
        <w:rPr>
          <w:rFonts w:ascii="Arial" w:hAnsi="Arial" w:cs="Arial"/>
          <w:sz w:val="24"/>
        </w:rPr>
      </w:pPr>
      <w:r w:rsidRPr="00DE4AA5">
        <w:rPr>
          <w:rFonts w:ascii="Arial" w:hAnsi="Arial" w:cs="Arial"/>
          <w:sz w:val="24"/>
        </w:rPr>
        <w:t xml:space="preserve">La pesca y la acuicultura siguen siendo importantes fuentes de alimentos, nutrición, ingresos y medios de vida. A su vez los consumidores aumentan sus expectativas sobre los productos acuícolas de alta calidad, los cuales deben cumplir con características entre las que destaca un color adecuado ya que este se asocia con un mejor sabor, frescura y el precio del producto. </w:t>
      </w:r>
    </w:p>
    <w:p w:rsidR="00DE4AA5" w:rsidRPr="00DE4AA5" w:rsidRDefault="00DE4AA5" w:rsidP="00EB3F1B">
      <w:pPr>
        <w:spacing w:after="0" w:line="240" w:lineRule="auto"/>
        <w:ind w:right="49"/>
        <w:jc w:val="both"/>
        <w:rPr>
          <w:rFonts w:ascii="Arial" w:hAnsi="Arial" w:cs="Arial"/>
          <w:sz w:val="24"/>
        </w:rPr>
      </w:pPr>
    </w:p>
    <w:p w:rsidR="00DE4AA5" w:rsidRPr="00DE4AA5" w:rsidRDefault="00DE4AA5" w:rsidP="00EB3F1B">
      <w:pPr>
        <w:spacing w:after="0" w:line="240" w:lineRule="auto"/>
        <w:ind w:right="49"/>
        <w:jc w:val="both"/>
        <w:rPr>
          <w:rFonts w:ascii="Arial" w:hAnsi="Arial" w:cs="Arial"/>
          <w:sz w:val="24"/>
        </w:rPr>
      </w:pPr>
      <w:r w:rsidRPr="00DE4AA5">
        <w:rPr>
          <w:rFonts w:ascii="Arial" w:hAnsi="Arial" w:cs="Arial"/>
          <w:sz w:val="24"/>
        </w:rPr>
        <w:t xml:space="preserve">Actualmente los camarones cultivados a densidades muy altas compiten de manera más agresiva por los mismos recursos alimentarios (fitoplancton y zooplancton), por lo que se requiere que los alimentos de los camarones cultivados deben de ser adicionados con carotenoides para obtener una piel y musculo pigmentados, la fuente de pigmentos más conocida y empleada en acuicultura es la </w:t>
      </w:r>
      <w:proofErr w:type="spellStart"/>
      <w:r w:rsidRPr="00DE4AA5">
        <w:rPr>
          <w:rFonts w:ascii="Arial" w:hAnsi="Arial" w:cs="Arial"/>
          <w:sz w:val="24"/>
        </w:rPr>
        <w:t>astaxantina</w:t>
      </w:r>
      <w:proofErr w:type="spellEnd"/>
      <w:r w:rsidRPr="00DE4AA5">
        <w:rPr>
          <w:rFonts w:ascii="Arial" w:hAnsi="Arial" w:cs="Arial"/>
          <w:sz w:val="24"/>
        </w:rPr>
        <w:t xml:space="preserve"> (</w:t>
      </w:r>
      <w:proofErr w:type="spellStart"/>
      <w:r w:rsidRPr="00DE4AA5">
        <w:rPr>
          <w:rFonts w:ascii="Arial" w:hAnsi="Arial" w:cs="Arial"/>
          <w:sz w:val="24"/>
        </w:rPr>
        <w:t>Carophyll</w:t>
      </w:r>
      <w:proofErr w:type="spellEnd"/>
      <w:r w:rsidRPr="00DE4AA5">
        <w:rPr>
          <w:rFonts w:ascii="Arial" w:hAnsi="Arial" w:cs="Arial"/>
          <w:sz w:val="24"/>
        </w:rPr>
        <w:t xml:space="preserve"> </w:t>
      </w:r>
      <w:proofErr w:type="spellStart"/>
      <w:r w:rsidRPr="00DE4AA5">
        <w:rPr>
          <w:rFonts w:ascii="Arial" w:hAnsi="Arial" w:cs="Arial"/>
          <w:sz w:val="24"/>
        </w:rPr>
        <w:t>Pink</w:t>
      </w:r>
      <w:proofErr w:type="spellEnd"/>
      <w:r w:rsidRPr="00DE4AA5">
        <w:rPr>
          <w:rFonts w:ascii="Arial" w:hAnsi="Arial" w:cs="Arial"/>
          <w:sz w:val="24"/>
        </w:rPr>
        <w:t xml:space="preserve">®). Sin embargo el costo de la </w:t>
      </w:r>
      <w:proofErr w:type="spellStart"/>
      <w:r w:rsidRPr="00DE4AA5">
        <w:rPr>
          <w:rFonts w:ascii="Arial" w:hAnsi="Arial" w:cs="Arial"/>
          <w:sz w:val="24"/>
        </w:rPr>
        <w:t>astaxantina</w:t>
      </w:r>
      <w:proofErr w:type="spellEnd"/>
      <w:r w:rsidRPr="00DE4AA5">
        <w:rPr>
          <w:rFonts w:ascii="Arial" w:hAnsi="Arial" w:cs="Arial"/>
          <w:sz w:val="24"/>
        </w:rPr>
        <w:t xml:space="preserve"> sintética es alto, y eleva los costos de la alimentación y la producción. Por lo tanto, la finalidad de la presente investigación es identificar insumos </w:t>
      </w:r>
      <w:proofErr w:type="spellStart"/>
      <w:r w:rsidRPr="00DE4AA5">
        <w:rPr>
          <w:rFonts w:ascii="Arial" w:hAnsi="Arial" w:cs="Arial"/>
          <w:sz w:val="24"/>
        </w:rPr>
        <w:t>pigmentantes</w:t>
      </w:r>
      <w:proofErr w:type="spellEnd"/>
      <w:r w:rsidRPr="00DE4AA5">
        <w:rPr>
          <w:rFonts w:ascii="Arial" w:hAnsi="Arial" w:cs="Arial"/>
          <w:sz w:val="24"/>
        </w:rPr>
        <w:t xml:space="preserve"> alternativos industrialmente disponibles para conseguir la coloración deseada comercialmente.</w:t>
      </w:r>
    </w:p>
    <w:p w:rsidR="00DE4AA5" w:rsidRPr="00DE4AA5" w:rsidRDefault="00DE4AA5" w:rsidP="00EB3F1B">
      <w:pPr>
        <w:spacing w:after="0" w:line="240" w:lineRule="auto"/>
        <w:ind w:right="49"/>
        <w:jc w:val="both"/>
        <w:rPr>
          <w:rFonts w:ascii="Arial" w:hAnsi="Arial" w:cs="Arial"/>
          <w:sz w:val="24"/>
        </w:rPr>
      </w:pPr>
    </w:p>
    <w:p w:rsidR="0010632F" w:rsidRPr="00DE4AA5" w:rsidRDefault="00DE4AA5" w:rsidP="00EB3F1B">
      <w:pPr>
        <w:spacing w:after="0" w:line="240" w:lineRule="auto"/>
        <w:ind w:right="49"/>
        <w:jc w:val="both"/>
        <w:rPr>
          <w:rFonts w:ascii="Arial" w:hAnsi="Arial" w:cs="Arial"/>
          <w:sz w:val="24"/>
        </w:rPr>
      </w:pPr>
      <w:r w:rsidRPr="00DE4AA5">
        <w:rPr>
          <w:rFonts w:ascii="Arial" w:hAnsi="Arial" w:cs="Arial"/>
          <w:sz w:val="24"/>
        </w:rPr>
        <w:t xml:space="preserve">El camarón blanco del pacífico L. </w:t>
      </w:r>
      <w:proofErr w:type="spellStart"/>
      <w:r w:rsidRPr="00DE4AA5">
        <w:rPr>
          <w:rFonts w:ascii="Arial" w:hAnsi="Arial" w:cs="Arial"/>
          <w:sz w:val="24"/>
        </w:rPr>
        <w:t>vannamei</w:t>
      </w:r>
      <w:proofErr w:type="spellEnd"/>
      <w:r w:rsidRPr="00DE4AA5">
        <w:rPr>
          <w:rFonts w:ascii="Arial" w:hAnsi="Arial" w:cs="Arial"/>
          <w:sz w:val="24"/>
        </w:rPr>
        <w:t xml:space="preserve">, es la especie más cultivada en el mundo. En el presente trabajo se describen aspectos sobre el color de camarones (marinos: Blanco </w:t>
      </w:r>
      <w:proofErr w:type="spellStart"/>
      <w:r w:rsidRPr="00EB3F1B">
        <w:rPr>
          <w:rFonts w:ascii="Arial" w:hAnsi="Arial" w:cs="Arial"/>
          <w:i/>
          <w:sz w:val="24"/>
        </w:rPr>
        <w:t>Litopenaeus</w:t>
      </w:r>
      <w:proofErr w:type="spellEnd"/>
      <w:r w:rsidRPr="00EB3F1B">
        <w:rPr>
          <w:rFonts w:ascii="Arial" w:hAnsi="Arial" w:cs="Arial"/>
          <w:i/>
          <w:sz w:val="24"/>
        </w:rPr>
        <w:t xml:space="preserve"> </w:t>
      </w:r>
      <w:proofErr w:type="spellStart"/>
      <w:r w:rsidRPr="00EB3F1B">
        <w:rPr>
          <w:rFonts w:ascii="Arial" w:hAnsi="Arial" w:cs="Arial"/>
          <w:i/>
          <w:sz w:val="24"/>
        </w:rPr>
        <w:t>vannamei</w:t>
      </w:r>
      <w:proofErr w:type="spellEnd"/>
      <w:r w:rsidRPr="00DE4AA5">
        <w:rPr>
          <w:rFonts w:ascii="Arial" w:hAnsi="Arial" w:cs="Arial"/>
          <w:sz w:val="24"/>
        </w:rPr>
        <w:t xml:space="preserve">, Café </w:t>
      </w:r>
      <w:proofErr w:type="spellStart"/>
      <w:r w:rsidRPr="00EB3F1B">
        <w:rPr>
          <w:rFonts w:ascii="Arial" w:hAnsi="Arial" w:cs="Arial"/>
          <w:i/>
          <w:sz w:val="24"/>
        </w:rPr>
        <w:t>Farfantepenaeus</w:t>
      </w:r>
      <w:proofErr w:type="spellEnd"/>
      <w:r w:rsidRPr="00EB3F1B">
        <w:rPr>
          <w:rFonts w:ascii="Arial" w:hAnsi="Arial" w:cs="Arial"/>
          <w:i/>
          <w:sz w:val="24"/>
        </w:rPr>
        <w:t xml:space="preserve"> </w:t>
      </w:r>
      <w:proofErr w:type="spellStart"/>
      <w:r w:rsidRPr="00EB3F1B">
        <w:rPr>
          <w:rFonts w:ascii="Arial" w:hAnsi="Arial" w:cs="Arial"/>
          <w:i/>
          <w:sz w:val="24"/>
        </w:rPr>
        <w:t>californiensis</w:t>
      </w:r>
      <w:proofErr w:type="spellEnd"/>
      <w:r w:rsidRPr="00DE4AA5">
        <w:rPr>
          <w:rFonts w:ascii="Arial" w:hAnsi="Arial" w:cs="Arial"/>
          <w:sz w:val="24"/>
        </w:rPr>
        <w:t xml:space="preserve">, y Cristal </w:t>
      </w:r>
      <w:proofErr w:type="spellStart"/>
      <w:r w:rsidRPr="00EB3F1B">
        <w:rPr>
          <w:rFonts w:ascii="Arial" w:hAnsi="Arial" w:cs="Arial"/>
          <w:i/>
          <w:sz w:val="24"/>
        </w:rPr>
        <w:t>Farfantepenaeus</w:t>
      </w:r>
      <w:proofErr w:type="spellEnd"/>
      <w:r w:rsidRPr="00EB3F1B">
        <w:rPr>
          <w:rFonts w:ascii="Arial" w:hAnsi="Arial" w:cs="Arial"/>
          <w:i/>
          <w:sz w:val="24"/>
        </w:rPr>
        <w:t xml:space="preserve"> </w:t>
      </w:r>
      <w:proofErr w:type="spellStart"/>
      <w:r w:rsidRPr="00EB3F1B">
        <w:rPr>
          <w:rFonts w:ascii="Arial" w:hAnsi="Arial" w:cs="Arial"/>
          <w:i/>
          <w:sz w:val="24"/>
        </w:rPr>
        <w:t>brevirostris</w:t>
      </w:r>
      <w:proofErr w:type="spellEnd"/>
      <w:r w:rsidRPr="00DE4AA5">
        <w:rPr>
          <w:rFonts w:ascii="Arial" w:hAnsi="Arial" w:cs="Arial"/>
          <w:sz w:val="24"/>
        </w:rPr>
        <w:t xml:space="preserve"> y camarones de granja y estero de la especie </w:t>
      </w:r>
      <w:proofErr w:type="spellStart"/>
      <w:r w:rsidRPr="00EB3F1B">
        <w:rPr>
          <w:rFonts w:ascii="Arial" w:hAnsi="Arial" w:cs="Arial"/>
          <w:i/>
          <w:sz w:val="24"/>
        </w:rPr>
        <w:t>Litopenaeus</w:t>
      </w:r>
      <w:proofErr w:type="spellEnd"/>
      <w:r w:rsidRPr="00EB3F1B">
        <w:rPr>
          <w:rFonts w:ascii="Arial" w:hAnsi="Arial" w:cs="Arial"/>
          <w:i/>
          <w:sz w:val="24"/>
        </w:rPr>
        <w:t xml:space="preserve"> </w:t>
      </w:r>
      <w:proofErr w:type="spellStart"/>
      <w:r w:rsidRPr="00EB3F1B">
        <w:rPr>
          <w:rFonts w:ascii="Arial" w:hAnsi="Arial" w:cs="Arial"/>
          <w:i/>
          <w:sz w:val="24"/>
        </w:rPr>
        <w:t>vannamei</w:t>
      </w:r>
      <w:proofErr w:type="spellEnd"/>
      <w:r w:rsidRPr="00DE4AA5">
        <w:rPr>
          <w:rFonts w:ascii="Arial" w:hAnsi="Arial" w:cs="Arial"/>
          <w:sz w:val="24"/>
        </w:rPr>
        <w:t>). Así mismo se llevó a cabo la cuantificación en mg/kg de los carotenoides contenidos en las diferentes partes de los camarones (Exoesqueleto,</w:t>
      </w:r>
      <w:r w:rsidR="00761659">
        <w:rPr>
          <w:rFonts w:ascii="Arial" w:hAnsi="Arial" w:cs="Arial"/>
          <w:sz w:val="24"/>
        </w:rPr>
        <w:t xml:space="preserve"> Hepatopáncreas,</w:t>
      </w:r>
      <w:r w:rsidRPr="00DE4AA5">
        <w:rPr>
          <w:rFonts w:ascii="Arial" w:hAnsi="Arial" w:cs="Arial"/>
          <w:sz w:val="24"/>
        </w:rPr>
        <w:t xml:space="preserve"> </w:t>
      </w:r>
      <w:proofErr w:type="spellStart"/>
      <w:r w:rsidRPr="00DE4AA5">
        <w:rPr>
          <w:rFonts w:ascii="Arial" w:hAnsi="Arial" w:cs="Arial"/>
          <w:sz w:val="24"/>
        </w:rPr>
        <w:t>Telsón</w:t>
      </w:r>
      <w:proofErr w:type="spellEnd"/>
      <w:r w:rsidRPr="00DE4AA5">
        <w:rPr>
          <w:rFonts w:ascii="Arial" w:hAnsi="Arial" w:cs="Arial"/>
          <w:sz w:val="24"/>
        </w:rPr>
        <w:t>, músculo y en el camarón completo), los resultados obtenidos con diferencias significativas (P&lt;0.05) muestran que las concentraciones más bajas de carotenoides se encuentran en los camarones de estero (11.3 mg/kg), mientras que los de altamar obtuvieron concentraciones entre 15-21 mg/kg, debido al tipo, variedad y abundancia de fuentes de alimentación (fitoplancton y zooplancton) disponibles en el medio silvestre.</w:t>
      </w:r>
      <w:bookmarkStart w:id="0" w:name="_GoBack"/>
      <w:bookmarkEnd w:id="0"/>
    </w:p>
    <w:sectPr w:rsidR="0010632F" w:rsidRPr="00DE4AA5" w:rsidSect="00EB3F1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1A"/>
    <w:rsid w:val="0010632F"/>
    <w:rsid w:val="0010768C"/>
    <w:rsid w:val="0020011A"/>
    <w:rsid w:val="0046558C"/>
    <w:rsid w:val="00486D5C"/>
    <w:rsid w:val="00657D0B"/>
    <w:rsid w:val="006B2F69"/>
    <w:rsid w:val="006C2E5E"/>
    <w:rsid w:val="00761659"/>
    <w:rsid w:val="00762FA7"/>
    <w:rsid w:val="00B874B8"/>
    <w:rsid w:val="00CB7D4B"/>
    <w:rsid w:val="00CF14E7"/>
    <w:rsid w:val="00DD5493"/>
    <w:rsid w:val="00DE4AA5"/>
    <w:rsid w:val="00EB3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6251-AFAD-4D41-B926-B0A38331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7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_bernal@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Enrique Bernal Rodriguez</dc:creator>
  <cp:keywords/>
  <dc:description/>
  <cp:lastModifiedBy>Carlos Enrique Bernal Rodriguez</cp:lastModifiedBy>
  <cp:revision>5</cp:revision>
  <dcterms:created xsi:type="dcterms:W3CDTF">2017-08-25T23:02:00Z</dcterms:created>
  <dcterms:modified xsi:type="dcterms:W3CDTF">2017-08-25T23:49:00Z</dcterms:modified>
</cp:coreProperties>
</file>